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80" w:before="80"/>
        <w:ind/>
        <w:rPr/>
      </w:pPr>
      <w:r>
        <w:rPr>
          <w:rFonts w:ascii="Arial" w:hAnsi="Arial"/>
          <w:b/>
          <w:i w:val="0"/>
          <w:color w:val="111111"/>
          <w:sz w:val="41"/>
          <w:u w:val="none"/>
        </w:rPr>
        <w:t xml:space="preserve">Código ético y de conducta</w:t>
        <w:br/>
        <w:t xml:space="preserve">profesional de TXDX-CSIRT</w:t>
      </w:r>
      <w:r/>
    </w:p>
    <w:p>
      <w:pPr>
        <w:pBdr/>
        <w:spacing w:after="20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tienen acceso, durante el ejercicio de sus funciones, a sistemas, redes, fuentes de información, evidencias y datos que pueden ser sensibles o críticos. Estas capacidades implican una responsabilidad especial frente a la con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stituency del equipo, los clientes de TXDXSecure, otros profesionales de la seguridad, terceros afectados y la sociedad en general. Cada miembro reconoce además su responsabilidad respecto de su propio bienestar y del bienestar de sus compañeros de equipo.</w:t>
      </w:r>
      <w:r/>
    </w:p>
    <w:p>
      <w:pPr>
        <w:pBdr/>
        <w:spacing w:after="20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Este Código se ha concebido para inspirar y guiar la conducta ética y profesional de todos los integrantes de TXDX-CSIRT. Adopta como base los principios de EthicsfIRST, el Código ético y de conducta p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rofesional de FIRST, y los aplica al contexto operativo de TXDXSecure. Sus principios se expresan como deberes de responsabilidad orientados a preservar la confianza, reducir daños y favorecer una respuesta a incidentes técnicamente rigurosa y responsable.</w:t>
      </w:r>
      <w:r/>
    </w:p>
    <w:p>
      <w:pPr>
        <w:pBdr/>
        <w:spacing w:after="10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deberes que siguen no están ordenados por importancia. Deben interpretarse con criterio profesional y atendiendo a las circunstancias de cada incidente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. Cuando un principio utilice la expresión "DEBERÍA", se entenderá en el sentido de RFC 2119: pueden existir circunstancias válidas para apartarse de una recomendación, pero sus implicaciones deben evaluarse cuidadosamente antes de adoptar una alternativa.</w:t>
      </w:r>
      <w:r/>
    </w:p>
    <w:p>
      <w:pPr>
        <w:pBdr/>
        <w:spacing w:after="200" w:before="80" w:line="247" w:lineRule="auto"/>
        <w:ind w:right="340" w:left="624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“En determinadas circunstancias pueden existir motivos válidos para apartarse de una recomendación concreta; antes de hacerlo, deben comprenderse sus consecuencias y ponderarse cuidadosamente las alternativas.”</w:t>
      </w:r>
      <w:r/>
    </w:p>
    <w:p>
      <w:pPr>
        <w:pBdr/>
        <w:spacing w:after="14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Para el tratamiento de situaciones en las que varios principios entren en tensión, véase el Apéndice A.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confianza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 confianza es la base de la cooperación efecti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va entre TXDX-CSIRT, su constituency, sus clientes, otros equipos de respuesta y las organizaciones con las que se intercambia información. Sin un nivel razonable de confianza, la coordinación de incidentes y el intercambio de información pierden eficacia.</w:t>
      </w:r>
      <w:r/>
    </w:p>
    <w:p>
      <w:pPr>
        <w:pBdr/>
        <w:spacing w:after="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deben asumir únicamen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te compromisos que puedan cumplir, actuar de forma previsible y profesional, respetar las restricciones de manejo de información -incluido TLP cuando sea aplicable- y proteger las relaciones de confianza establecidas con otros equipos y partes interesadas.</w:t>
      </w:r>
      <w:r/>
    </w:p>
    <w:p>
      <w:pPr>
        <w:pBdr/>
        <w:spacing/>
        <w:ind/>
        <w:rPr/>
      </w:pPr>
      <w:r>
        <w:br w:type="page" w:clear="all"/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Cuando una relación de confianza aún no esté establecida, TXDX-CSIRT deberá aplicar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mecanismos razonables de verificación de identidad y autenticidad. La confianza inicial no elimina la obligación de validar la legitimidad de solicitudes, contactos, claves, dominios, evidencias o instrucciones cuando la sensibilidad del caso lo requiera.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revelación de vulnerabilidad coordinada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Cuando un miembro de TXDX-CSIRT conozca una vulnerabilidad relevante, deberá favorecer una divulgación coordinada que p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ermita a las partes interesadas reducir el riesgo antes de hacer públicos detalles que puedan facilitar su explotación. La coordinación podrá involucrar al informante, fabricante o proveedor afectado, coordinadores, defensores, clientes, socios y usuarios.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TXDX-CSIRT debería establecer con las partes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pertinentes plazos y expectativas claras de comunicación, proporcionando información suficiente para que los afectados evalúen el riesgo y adopten medidas defensivas viables, sin divulgar de manera prematura detalles cuya publicación incremente el riesgo.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confidencialidad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tienen e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 deber de preservar la confidencialidad cuando corresponda. Las restricciones pueden comunicarse de forma expresa mediante TLP, acuerdos contractuales, instrucciones del propietario de la información, clasificación interna u otros mecanismos establecidos.</w:t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Cuando una solicitud de confidencialidad entre en conflicto con una obligación legal, regulatoria, contractual o de reporte, el conflicto deberá esca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larse por los canales de gobierno correspondientes y, cuando sea posible, comunicarse oportunamente al propietario de la información. La información sensible sólo deberá compartirse con destinatarios legitimados y bajo el principio de necesidad de conocer.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acuse de recibo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TXDX-CSIRT recibe información de investigadores, clientes, usuarios, proveedores, otros CSIRT/CERT, organizaciones pública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s y privadas y otras fuentes. Sus miembros deben responder de manera oportuna a los reportes y consultas, aunque inicialmente sólo sea para confirmar su recepción y proporcionar un identificador o una expectativa razonable sobre la siguiente actualización.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autorización</w:t>
      </w:r>
      <w:r/>
    </w:p>
    <w:p>
      <w:pPr>
        <w:pBdr/>
        <w:spacing w:after="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deben conocer el alcance de su autoridad y actuar únicame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nte sobre sistemas, cuentas, información y recursos para los cuales exista autorización suficiente. Deben considerar el posible impacto de sus acciones y evitar introducir daños adicionales durante la investigación, contención, erradicación o recuperación.</w:t>
      </w:r>
      <w:r/>
    </w:p>
    <w:p>
      <w:pPr>
        <w:pBdr/>
        <w:spacing/>
        <w:ind/>
        <w:rPr/>
      </w:pPr>
      <w:r>
        <w:br w:type="page" w:clear="all"/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Siempre que sea posible, las consecuencias de acciones potencialmente disruptivas deb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en explicarse a los responsables afectados antes de su ejecución. Cuando se requieran cambios sobre infraestructura de clientes o terceros, TXDX-CSIRT deberá respetar el alcance contractual, los procedimientos de emergencia y las autorizaciones aplicables.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informar</w:t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deben mantener informada a su constituency y a las partes pertinentes sobre amenazas, ries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gos e incidentes que puedan afectarles, en la medida necesaria para facilitar decisiones y acciones defensivas. Esta obligación debe equilibrarse con la confidencialidad, la privacidad, las restricciones contractuales y cualquier otra obligación aplicable.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respetar los derechos humanos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Las actividades de respuesta a incidentes pueden afectar derechos de las personas, especialmente cuando implican recopilación, an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álisis o intercambio de información personal, sensible o confidencial. Los miembros de TXDX-CSIRT deberán realizar estas actividades respetando la dignidad, privacidad, propiedad, igualdad de trato y demás derechos reconocidos por la legislación aplicable.</w:t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Durante l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a gestión de incidentes, el equipo debe procurar reducir sesgos en sus procesos y decisiones. Las conclusiones sobre personas, organizaciones o supuestos responsables no deben basarse en estereotipos, rumores ni inferencias sin respaldo técnico suficiente.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respecto de la salud del Equipo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TXDX-CSIRT tiene la responsabilidad de mantener una capacidad sostenible para prestar lo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s servicios comprometidos. Esa capacidad depende también de la salud física y emocional de sus miembros. La organización debe procurar un entorno de trabajo seguro, respetuoso y sostenible, especialmente durante incidentes de alta presión o larga duración.</w:t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 planificación de guardias, relevos, descansos y escalamiento debe reducir la dependencia excesiva de una sola persona y evitar que la continuidad del servicio se base en cargas de trabajo incompatibles con la salud del equipo.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respecto de la capacidad del Equipo</w:t>
      </w:r>
      <w:r/>
    </w:p>
    <w:p>
      <w:pPr>
        <w:pBdr/>
        <w:spacing w:after="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 gestión de incidentes evoluciona constantemente. TXDX-CSIRT debe proporcionar a sus miembros oportunidades y recursos razonables para mantener y desarrollar competencias técnicas, analíticas y de coordinación acordes con sus responsabilidades.</w:t>
      </w:r>
      <w:r/>
    </w:p>
    <w:p>
      <w:pPr>
        <w:pBdr/>
        <w:spacing/>
        <w:ind/>
        <w:rPr/>
      </w:pPr>
      <w:r>
        <w:br w:type="page" w:clear="all"/>
      </w:r>
      <w:r/>
    </w:p>
    <w:p>
      <w:pPr>
        <w:pBdr/>
        <w:spacing w:after="20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 formación, ejercicios, certificaciones, intercambio con otros equipos y aprendizaje derivado de incidentes deben contribuir a mejora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r la capacidad real del TXDX-CSIRT. El equipo deberá mantener asimismo infraestructura, herramientas, documentación y controles de seguridad suficientes para prestar sus servicios sin exponer innecesariamente la información o los sistemas bajo su custodia.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recopilación responsable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 recopilación de datos puede ser necesaria para confirmar, investigar y resolver un incidente, pero debe 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mantenerse un equilibrio entre la finalidad de la respuesta y el respeto a la información de las partes interesadas. TXDX-CSIRT deberá recopilar sólo la información razonablemente necesaria para el objetivo técnico, operativo, contractual o legal del caso.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A medida que evolucione la investigació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n, el equipo deberá reevaluar qué datos siguen siendo necesarios. Los datos que no resulten pertinentes para comprender o resolver el incidente deben evitarse o excluirse de los informes, salvo que exista una razón legítima y documentada para conservarlos.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 recopilación, almacenamiento, procesamiento y transferencia de datos deberá realizarse de acuerdo con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la legislación aplicable, las obligaciones contractuales y las políticas de TXDXSecure. Cuando la información se encuentre bajo control de un tercero, deberán respetarse las autorizaciones y condiciones aplicables antes de su recopilación o procesamiento.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 información que pueda ayudar legítimamente a otros equipos a prevenir o responde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r a incidentes podrá compartirse cuando exista base suficiente para hacerlo, utilizando anonimización, redacción, TLP u otras salvaguardas cuando corresponda. La información confidencial o propietaria sólo deberá compartirse con las protecciones adecuadas.</w:t>
      </w:r>
      <w:r/>
    </w:p>
    <w:p>
      <w:pPr>
        <w:pBdr/>
        <w:spacing w:after="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Antes de compartir datos con terceros, TXDX-CSIRT debe evaluar el beneficio esperado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frente a los riesgos de divulgación. Los datos sensibles deben almacenarse de forma segura durante el tiempo que sea necesario y eliminarse o destruirse de acuerdo con las políticas de retención, obligaciones legales y requisitos contractuales aplicables.</w:t>
      </w:r>
      <w:r/>
    </w:p>
    <w:p>
      <w:pPr>
        <w:pBdr/>
        <w:spacing/>
        <w:ind/>
        <w:rPr/>
      </w:pPr>
      <w:r>
        <w:br w:type="page" w:clear="all"/>
      </w:r>
      <w:r/>
    </w:p>
    <w:p>
      <w:pPr>
        <w:keepNext w:val="true"/>
        <w:pBdr/>
        <w:spacing w:after="100" w:before="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reconocimiento de los límites jurisdiccionales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deben reconocer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y respetar los límites jurisdiccionales, derechos legales, normas y autoridades de las partes involucradas en la respuesta a incidentes. La autoridad técnica o contractual del equipo no debe interpretarse como autoridad legal fuera de su ámbito aplicable.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Las obligaciones en materia de privacidad, protección de datos, notificación de incidentes, preservación de evidencia, cooperación con autoridades y transferencia de información pueden var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iar según el país, sector, cliente o naturaleza de los datos involucrados. Cuando un incidente afecte varias jurisdicciones, TXDX-CSIRT deberá identificar oportunamente estas dependencias y escalarlas a las funciones legales o de gobierno correspondientes.</w:t>
      </w:r>
      <w:r/>
    </w:p>
    <w:p>
      <w:pPr>
        <w:pBdr/>
        <w:spacing w:after="20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Cuando existan dudas relevantes sobre la legitimidad de una acción, la transferencia transfronteriza de dato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s, una obligación de notificación o la autoridad para actuar, los miembros deben obtener orientación de los responsables legales o de gobierno antes de proceder, salvo que exista un procedimiento de emergencia previamente autorizado que cubra la situación.</w:t>
      </w:r>
      <w:r/>
    </w:p>
    <w:p>
      <w:pPr>
        <w:keepNext w:val="true"/>
        <w:pBdr/>
        <w:spacing w:after="100" w:before="220"/>
        <w:ind/>
        <w:rPr/>
      </w:pPr>
      <w:r>
        <w:rPr>
          <w:rFonts w:ascii="Arial" w:hAnsi="Arial"/>
          <w:b/>
          <w:i w:val="0"/>
          <w:color w:val="111111"/>
          <w:sz w:val="32"/>
          <w:u w:val="none"/>
        </w:rPr>
        <w:t xml:space="preserve">Deber de razonamiento basado en pruebas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TXDX-CSIRT debe desarrollar su actividad sobre la base de he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chos verificables. Al compartir indicadores de compromiso, descripciones de incidentes, atribuciones técnicas o recomendaciones, sus miembros deberán distinguir claramente entre hechos confirmados, hipótesis, inferencias y elementos todavía no verificados.</w:t>
      </w:r>
      <w:r/>
    </w:p>
    <w:p>
      <w:pPr>
        <w:pBdr/>
        <w:spacing w:after="16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Siempre que sea posible, las conclusiones deberán poder relacionarse con evidencias, fuentes, registros, observaciones o métodos de análisis repro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ducibles. Si por razones de confidencialidad, seguridad o restricciones contractuales no puede compartirse la evidencia completa, deberá indicarse la limitación con suficiente claridad para que el receptor comprenda el nivel de confianza de la información.</w:t>
      </w:r>
      <w:r/>
    </w:p>
    <w:p>
      <w:pPr>
        <w:pBdr/>
        <w:spacing w:after="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deben abstenerse de presentar rumores como hechos. Las hipótesis deberán etiquetarse como tales y revisarse cuando aparezcan nuevas evidencias. Esta oblig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ación también se aplica al intercambio automatizado de información: cuando un proceso produzca indicadores, clasificaciones o conclusiones de forma automática, deberá existir documentación suficiente para comprender su origen y las limitaciones del método.</w:t>
      </w:r>
      <w:r/>
    </w:p>
    <w:p>
      <w:pPr>
        <w:pBdr/>
        <w:spacing/>
        <w:ind/>
        <w:rPr/>
      </w:pPr>
      <w:r>
        <w:br w:type="page" w:clear="all"/>
      </w:r>
      <w:r/>
    </w:p>
    <w:p>
      <w:pPr>
        <w:keepNext w:val="true"/>
        <w:pBdr/>
        <w:spacing w:after="80" w:before="0"/>
        <w:ind/>
        <w:rPr/>
      </w:pPr>
      <w:r>
        <w:rPr>
          <w:rFonts w:ascii="Arial" w:hAnsi="Arial"/>
          <w:b/>
          <w:i w:val="0"/>
          <w:color w:val="111111"/>
          <w:sz w:val="34"/>
          <w:u w:val="none"/>
        </w:rPr>
        <w:t xml:space="preserve">Apéndice A</w:t>
      </w:r>
      <w:r/>
    </w:p>
    <w:p>
      <w:pPr>
        <w:pBdr/>
        <w:spacing w:after="220"/>
        <w:ind/>
        <w:rPr/>
      </w:pPr>
      <w:r>
        <w:rPr>
          <w:rFonts w:ascii="Arial" w:hAnsi="Arial"/>
          <w:b w:val="0"/>
          <w:i w:val="0"/>
          <w:color w:val="111111"/>
          <w:sz w:val="33"/>
          <w:u w:val="none"/>
        </w:rPr>
        <w:t xml:space="preserve">Lidiar con los dilemas</w:t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Los miembros de TXDX-CSIRT pueden encontrarse en situaciones en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las que ninguna alternativa satisfaga plenamente todos los principios de este Código. En esos casos deberán identificar los principios en tensión, las partes interesadas, el daño potencial y las obligaciones legales, contractuales y operativas aplicables.</w:t>
      </w:r>
      <w:r/>
    </w:p>
    <w:p>
      <w:pPr>
        <w:pBdr/>
        <w:spacing w:after="18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Siempre que sea posible, el dilema debería discutirse con otro miembro del equipo o con el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responsable de gobierno correspondiente antes de actuar. Como regla general, deberá preferirse la alternativa que preserve mejor la seguridad, la legalidad, la confianza y los derechos de las partes, y que produzca el menor daño razonablemente previsible.</w:t>
      </w:r>
      <w:r/>
    </w:p>
    <w:p>
      <w:pPr>
        <w:pBdr/>
        <w:spacing w:after="240" w:before="0" w:line="247" w:lineRule="auto"/>
        <w:ind/>
        <w:jc w:val="left"/>
        <w:rPr/>
      </w:pP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Cuando una decisión excepcional obligue a apartarse de uno de estos principios,</w:t>
      </w:r>
      <w:r>
        <w:rPr>
          <w:rFonts w:ascii="Arial" w:hAnsi="Arial"/>
          <w:b w:val="0"/>
          <w:i w:val="0"/>
          <w:color w:val="111111"/>
          <w:sz w:val="22"/>
          <w:u w:val="none"/>
        </w:rPr>
        <w:t xml:space="preserve"> la razón deberá documentarse de forma proporcional a la criticidad del caso y escalarse cuando corresponda. Ningún miembro deberá ocultar deliberadamente un dilema ético material ni utilizar este Código para justificar una actuación fuera de su autoridad.</w:t>
      </w:r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1729" w:right="1417" w:bottom="1247" w:left="1417" w:header="425" w:footer="312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pBdr/>
      <w:spacing/>
      <w:ind/>
      <w:rPr/>
    </w:pPr>
    <w:r/>
    <w:r/>
  </w:p>
  <w:tbl>
    <w:tblPr>
      <w:jc w:val="center"/>
      <w:tblW w:w="0" w:type="auto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fixed"/>
      <w:tblLook w:val="04A0" w:firstRow="1" w:lastRow="0" w:firstColumn="1" w:lastColumn="0" w:noHBand="0" w:noVBand="1"/>
    </w:tblPr>
    <w:tblGrid>
      <w:gridCol w:w="3288"/>
      <w:gridCol w:w="3288"/>
      <w:gridCol w:w="3288"/>
    </w:tblGrid>
    <w:tr>
      <w:trPr/>
      <w:tc>
        <w:tcPr>
          <w:tcBorders>
            <w:top w:val="single" w:color="000000" w:sz="6" w:space="0"/>
          </w:tcBorders>
          <w:tcMar>
            <w:left w:w="0" w:type="dxa"/>
            <w:top w:w="70" w:type="dxa"/>
            <w:right w:w="0" w:type="dxa"/>
            <w:bottom w:w="0" w:type="dxa"/>
          </w:tcMar>
          <w:tcW w:w="5272" w:type="dxa"/>
        </w:tcPr>
        <w:p>
          <w:pPr>
            <w:pBdr/>
            <w:spacing w:after="0"/>
            <w:ind/>
            <w:rPr/>
          </w:pP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t xml:space="preserve">Código ético y de conducta profesional de TXDX-CSIRT</w:t>
          </w:r>
          <w:r/>
        </w:p>
        <w:p>
          <w:pPr>
            <w:pBdr/>
            <w:spacing w:after="0" w:before="0"/>
            <w:ind/>
            <w:rPr/>
          </w:pP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t xml:space="preserve">TXDXSecure</w:t>
          </w:r>
          <w:r/>
        </w:p>
      </w:tc>
      <w:tc>
        <w:tcPr>
          <w:tcBorders>
            <w:top w:val="single" w:color="000000" w:sz="6" w:space="0"/>
          </w:tcBorders>
          <w:tcMar>
            <w:left w:w="0" w:type="dxa"/>
            <w:top w:w="70" w:type="dxa"/>
            <w:right w:w="0" w:type="dxa"/>
            <w:bottom w:w="0" w:type="dxa"/>
          </w:tcMar>
          <w:tcW w:w="1757" w:type="dxa"/>
        </w:tcPr>
        <w:p>
          <w:pPr>
            <w:pBdr/>
            <w:spacing w:after="0"/>
            <w:ind/>
            <w:jc w:val="center"/>
            <w:rPr/>
          </w:pP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fldChar w:fldCharType="begin"/>
            <w:instrText xml:space="preserve"> PAGE </w:instrText>
            <w:fldChar w:fldCharType="end"/>
          </w: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t xml:space="preserve"> de </w:t>
          </w: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fldChar w:fldCharType="begin"/>
            <w:instrText xml:space="preserve"> NUMPAGES </w:instrText>
            <w:fldChar w:fldCharType="end"/>
          </w:r>
          <w:r/>
        </w:p>
      </w:tc>
      <w:tc>
        <w:tcPr>
          <w:tcBorders>
            <w:top w:val="single" w:color="000000" w:sz="6" w:space="0"/>
          </w:tcBorders>
          <w:tcMar>
            <w:left w:w="0" w:type="dxa"/>
            <w:top w:w="70" w:type="dxa"/>
            <w:right w:w="0" w:type="dxa"/>
            <w:bottom w:w="0" w:type="dxa"/>
          </w:tcMar>
          <w:tcW w:w="2835" w:type="dxa"/>
        </w:tcPr>
        <w:p>
          <w:pPr>
            <w:pBdr/>
            <w:spacing w:after="0"/>
            <w:ind/>
            <w:jc w:val="right"/>
            <w:rPr/>
          </w:pPr>
          <w:r>
            <w:rPr>
              <w:rFonts w:ascii="Arial" w:hAnsi="Arial"/>
              <w:b/>
              <w:i w:val="0"/>
              <w:color w:val="ffffff"/>
              <w:sz w:val="19"/>
              <w:u w:val="none"/>
              <w:shd w:val="clear" w:color="auto" w:fill="000000"/>
            </w:rPr>
            <w:t xml:space="preserve"> TLP:CLEAR </w:t>
          </w:r>
          <w:r/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pBdr/>
      <w:spacing/>
      <w:ind/>
      <w:rPr/>
    </w:pPr>
    <w:r/>
    <w:r/>
  </w:p>
  <w:tbl>
    <w:tblPr>
      <w:jc w:val="center"/>
      <w:tblW w:w="0" w:type="auto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fixed"/>
      <w:tblLook w:val="04A0" w:firstRow="1" w:lastRow="0" w:firstColumn="1" w:lastColumn="0" w:noHBand="0" w:noVBand="1"/>
    </w:tblPr>
    <w:tblGrid>
      <w:gridCol w:w="3288"/>
      <w:gridCol w:w="3288"/>
      <w:gridCol w:w="3288"/>
    </w:tblGrid>
    <w:tr>
      <w:trPr/>
      <w:tc>
        <w:tcPr>
          <w:tcBorders>
            <w:top w:val="single" w:color="000000" w:sz="6" w:space="0"/>
          </w:tcBorders>
          <w:tcMar>
            <w:left w:w="0" w:type="dxa"/>
            <w:top w:w="70" w:type="dxa"/>
            <w:right w:w="0" w:type="dxa"/>
            <w:bottom w:w="0" w:type="dxa"/>
          </w:tcMar>
          <w:tcW w:w="5272" w:type="dxa"/>
        </w:tcPr>
        <w:p>
          <w:pPr>
            <w:pBdr/>
            <w:spacing w:after="0"/>
            <w:ind/>
            <w:rPr/>
          </w:pP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t xml:space="preserve">Código ético y de conducta profesional de TXDX-CSIRT</w:t>
          </w:r>
          <w:r/>
        </w:p>
        <w:p>
          <w:pPr>
            <w:pBdr/>
            <w:spacing w:after="0" w:before="0"/>
            <w:ind/>
            <w:rPr/>
          </w:pP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t xml:space="preserve">TXDXSecure</w:t>
          </w:r>
          <w:r/>
        </w:p>
      </w:tc>
      <w:tc>
        <w:tcPr>
          <w:tcBorders>
            <w:top w:val="single" w:color="000000" w:sz="6" w:space="0"/>
          </w:tcBorders>
          <w:tcMar>
            <w:left w:w="0" w:type="dxa"/>
            <w:top w:w="70" w:type="dxa"/>
            <w:right w:w="0" w:type="dxa"/>
            <w:bottom w:w="0" w:type="dxa"/>
          </w:tcMar>
          <w:tcW w:w="1757" w:type="dxa"/>
        </w:tcPr>
        <w:p>
          <w:pPr>
            <w:pBdr/>
            <w:spacing w:after="0"/>
            <w:ind/>
            <w:jc w:val="center"/>
            <w:rPr/>
          </w:pP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fldChar w:fldCharType="begin"/>
            <w:instrText xml:space="preserve"> PAGE </w:instrText>
            <w:fldChar w:fldCharType="end"/>
          </w: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t xml:space="preserve"> de </w:t>
          </w:r>
          <w:r>
            <w:rPr>
              <w:rFonts w:ascii="Arial" w:hAnsi="Arial"/>
              <w:b w:val="0"/>
              <w:i w:val="0"/>
              <w:color w:val="666666"/>
              <w:sz w:val="16"/>
              <w:u w:val="none"/>
            </w:rPr>
            <w:fldChar w:fldCharType="begin"/>
            <w:instrText xml:space="preserve"> NUMPAGES </w:instrText>
            <w:fldChar w:fldCharType="end"/>
          </w:r>
          <w:r/>
        </w:p>
      </w:tc>
      <w:tc>
        <w:tcPr>
          <w:tcBorders>
            <w:top w:val="single" w:color="000000" w:sz="6" w:space="0"/>
          </w:tcBorders>
          <w:tcMar>
            <w:left w:w="0" w:type="dxa"/>
            <w:top w:w="70" w:type="dxa"/>
            <w:right w:w="0" w:type="dxa"/>
            <w:bottom w:w="0" w:type="dxa"/>
          </w:tcMar>
          <w:tcW w:w="2835" w:type="dxa"/>
        </w:tcPr>
        <w:p>
          <w:pPr>
            <w:pBdr/>
            <w:spacing w:after="0"/>
            <w:ind/>
            <w:jc w:val="right"/>
            <w:rPr/>
          </w:pPr>
          <w:r>
            <w:rPr>
              <w:rFonts w:ascii="Arial" w:hAnsi="Arial"/>
              <w:b/>
              <w:i w:val="0"/>
              <w:color w:val="ffffff"/>
              <w:sz w:val="19"/>
              <w:u w:val="none"/>
              <w:shd w:val="clear" w:color="auto" w:fill="000000"/>
            </w:rPr>
            <w:t xml:space="preserve"> TLP:CLEAR </w:t>
          </w:r>
          <w:r/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pBdr/>
      <w:spacing/>
      <w:ind/>
      <w:rPr/>
    </w:pPr>
    <w:r/>
    <w:r/>
  </w:p>
  <w:tbl>
    <w:tblPr>
      <w:jc w:val="center"/>
      <w:tblW w:w="0" w:type="auto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fixed"/>
      <w:tblLook w:val="04A0" w:firstRow="1" w:lastRow="0" w:firstColumn="1" w:lastColumn="0" w:noHBand="0" w:noVBand="1"/>
    </w:tblPr>
    <w:tblGrid>
      <w:gridCol w:w="4989"/>
      <w:gridCol w:w="4876"/>
    </w:tblGrid>
    <w:tr>
      <w:trPr/>
      <w:tc>
        <w:tcPr>
          <w:tcBorders/>
          <w:tcMar>
            <w:left w:w="0" w:type="dxa"/>
            <w:top w:w="0" w:type="dxa"/>
            <w:right w:w="0" w:type="dxa"/>
            <w:bottom w:w="0" w:type="dxa"/>
          </w:tcMar>
          <w:tcW w:w="4989" w:type="dxa"/>
        </w:tcPr>
        <w:p>
          <w:pPr>
            <w:pBdr/>
            <w:spacing/>
            <w:ind/>
            <w:jc w:val="left"/>
            <w:rPr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932688" cy="913011"/>
                    <wp:effectExtent l="0" t="0" r="0" b="0"/>
                    <wp:docPr id="1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txdx_logo_cropped.png"/>
                            <pic:cNvPicPr>
                              <a:picLocks noChangeAspect="1"/>
                            </pic:cNvPicPr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32688" cy="91301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73.44pt;height:71.89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/>
        </w:p>
      </w:tc>
      <w:tc>
        <w:tcPr>
          <w:tcBorders/>
          <w:tcMar>
            <w:left w:w="0" w:type="dxa"/>
            <w:top w:w="0" w:type="dxa"/>
            <w:right w:w="0" w:type="dxa"/>
            <w:bottom w:w="0" w:type="dxa"/>
          </w:tcMar>
          <w:tcW w:w="4876" w:type="dxa"/>
        </w:tcPr>
        <w:p>
          <w:pPr>
            <w:pBdr/>
            <w:spacing w:after="80"/>
            <w:ind/>
            <w:jc w:val="right"/>
            <w:rPr/>
          </w:pPr>
          <w:r>
            <w:rPr>
              <w:rFonts w:ascii="Arial" w:hAnsi="Arial"/>
              <w:b w:val="0"/>
              <w:i w:val="0"/>
              <w:color w:val="6b6b6b"/>
              <w:sz w:val="17"/>
              <w:u w:val="none"/>
            </w:rPr>
            <w:t xml:space="preserve">Versión 0.1</w:t>
          </w:r>
          <w:r/>
        </w:p>
        <w:p>
          <w:pPr>
            <w:pBdr/>
            <w:spacing w:after="0"/>
            <w:ind/>
            <w:jc w:val="right"/>
            <w:rPr/>
          </w:pPr>
          <w:r>
            <w:rPr>
              <w:rFonts w:ascii="Arial" w:hAnsi="Arial"/>
              <w:b/>
              <w:i w:val="0"/>
              <w:color w:val="ffffff"/>
              <w:sz w:val="21"/>
              <w:u w:val="none"/>
              <w:shd w:val="clear" w:color="auto" w:fill="000000"/>
            </w:rPr>
            <w:t xml:space="preserve"> TLP:CLEAR </w:t>
          </w:r>
          <w:r/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pBdr/>
      <w:spacing/>
      <w:ind/>
      <w:rPr/>
    </w:pPr>
    <w:r/>
    <w:r/>
  </w:p>
  <w:tbl>
    <w:tblPr>
      <w:jc w:val="center"/>
      <w:tblW w:w="0" w:type="auto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fixed"/>
      <w:tblLook w:val="04A0" w:firstRow="1" w:lastRow="0" w:firstColumn="1" w:lastColumn="0" w:noHBand="0" w:noVBand="1"/>
    </w:tblPr>
    <w:tblGrid>
      <w:gridCol w:w="4989"/>
      <w:gridCol w:w="4876"/>
    </w:tblGrid>
    <w:tr>
      <w:trPr/>
      <w:tc>
        <w:tcPr>
          <w:tcBorders/>
          <w:tcMar>
            <w:left w:w="0" w:type="dxa"/>
            <w:top w:w="0" w:type="dxa"/>
            <w:right w:w="0" w:type="dxa"/>
            <w:bottom w:w="0" w:type="dxa"/>
          </w:tcMar>
          <w:tcW w:w="4989" w:type="dxa"/>
        </w:tcPr>
        <w:p>
          <w:pPr>
            <w:pBdr/>
            <w:spacing/>
            <w:ind/>
            <w:jc w:val="left"/>
            <w:rPr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417320" cy="1387419"/>
                    <wp:effectExtent l="0" t="0" r="0" b="0"/>
                    <wp:docPr id="2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txdx_logo_cropped.png"/>
                            <pic:cNvPicPr>
                              <a:picLocks noChangeAspect="1"/>
                            </pic:cNvPicPr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417320" cy="138741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width:111.60pt;height:109.25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/>
        </w:p>
      </w:tc>
      <w:tc>
        <w:tcPr>
          <w:tcBorders/>
          <w:tcMar>
            <w:left w:w="0" w:type="dxa"/>
            <w:top w:w="0" w:type="dxa"/>
            <w:right w:w="0" w:type="dxa"/>
            <w:bottom w:w="0" w:type="dxa"/>
          </w:tcMar>
          <w:tcW w:w="4876" w:type="dxa"/>
        </w:tcPr>
        <w:p>
          <w:pPr>
            <w:pBdr/>
            <w:spacing w:after="80"/>
            <w:ind/>
            <w:jc w:val="right"/>
            <w:rPr/>
          </w:pPr>
          <w:r>
            <w:rPr>
              <w:rFonts w:ascii="Arial" w:hAnsi="Arial"/>
              <w:b w:val="0"/>
              <w:i w:val="0"/>
              <w:color w:val="6b6b6b"/>
              <w:sz w:val="17"/>
              <w:u w:val="none"/>
            </w:rPr>
            <w:t xml:space="preserve">Versión 0.1</w:t>
          </w:r>
          <w:r/>
        </w:p>
        <w:p>
          <w:pPr>
            <w:pBdr/>
            <w:spacing w:after="0"/>
            <w:ind/>
            <w:jc w:val="right"/>
            <w:rPr/>
          </w:pPr>
          <w:r>
            <w:rPr>
              <w:rFonts w:ascii="Arial" w:hAnsi="Arial"/>
              <w:b/>
              <w:i w:val="0"/>
              <w:color w:val="ffffff"/>
              <w:sz w:val="21"/>
              <w:u w:val="none"/>
              <w:shd w:val="clear" w:color="auto" w:fill="000000"/>
            </w:rPr>
            <w:t xml:space="preserve"> TLP:CLEAR </w:t>
          </w:r>
          <w:r/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1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1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1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1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1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1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81">
    <w:name w:val="footnote text"/>
    <w:basedOn w:val="87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9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9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7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9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9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89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89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78"/>
    <w:next w:val="878"/>
    <w:uiPriority w:val="39"/>
    <w:unhideWhenUsed/>
    <w:pPr>
      <w:pBdr/>
      <w:spacing w:after="100"/>
      <w:ind/>
    </w:pPr>
  </w:style>
  <w:style w:type="paragraph" w:styleId="190">
    <w:name w:val="toc 2"/>
    <w:basedOn w:val="878"/>
    <w:next w:val="878"/>
    <w:uiPriority w:val="39"/>
    <w:unhideWhenUsed/>
    <w:pPr>
      <w:pBdr/>
      <w:spacing w:after="100"/>
      <w:ind w:left="220"/>
    </w:pPr>
  </w:style>
  <w:style w:type="paragraph" w:styleId="191">
    <w:name w:val="toc 3"/>
    <w:basedOn w:val="878"/>
    <w:next w:val="878"/>
    <w:uiPriority w:val="39"/>
    <w:unhideWhenUsed/>
    <w:pPr>
      <w:pBdr/>
      <w:spacing w:after="100"/>
      <w:ind w:left="440"/>
    </w:pPr>
  </w:style>
  <w:style w:type="paragraph" w:styleId="192">
    <w:name w:val="toc 4"/>
    <w:basedOn w:val="878"/>
    <w:next w:val="878"/>
    <w:uiPriority w:val="39"/>
    <w:unhideWhenUsed/>
    <w:pPr>
      <w:pBdr/>
      <w:spacing w:after="100"/>
      <w:ind w:left="660"/>
    </w:pPr>
  </w:style>
  <w:style w:type="paragraph" w:styleId="193">
    <w:name w:val="toc 5"/>
    <w:basedOn w:val="878"/>
    <w:next w:val="878"/>
    <w:uiPriority w:val="39"/>
    <w:unhideWhenUsed/>
    <w:pPr>
      <w:pBdr/>
      <w:spacing w:after="100"/>
      <w:ind w:left="880"/>
    </w:pPr>
  </w:style>
  <w:style w:type="paragraph" w:styleId="194">
    <w:name w:val="toc 6"/>
    <w:basedOn w:val="878"/>
    <w:next w:val="878"/>
    <w:uiPriority w:val="39"/>
    <w:unhideWhenUsed/>
    <w:pPr>
      <w:pBdr/>
      <w:spacing w:after="100"/>
      <w:ind w:left="1100"/>
    </w:pPr>
  </w:style>
  <w:style w:type="paragraph" w:styleId="195">
    <w:name w:val="toc 7"/>
    <w:basedOn w:val="878"/>
    <w:next w:val="878"/>
    <w:uiPriority w:val="39"/>
    <w:unhideWhenUsed/>
    <w:pPr>
      <w:pBdr/>
      <w:spacing w:after="100"/>
      <w:ind w:left="1320"/>
    </w:pPr>
  </w:style>
  <w:style w:type="paragraph" w:styleId="196">
    <w:name w:val="toc 8"/>
    <w:basedOn w:val="878"/>
    <w:next w:val="878"/>
    <w:uiPriority w:val="39"/>
    <w:unhideWhenUsed/>
    <w:pPr>
      <w:pBdr/>
      <w:spacing w:after="100"/>
      <w:ind w:left="1540"/>
    </w:pPr>
  </w:style>
  <w:style w:type="paragraph" w:styleId="197">
    <w:name w:val="toc 9"/>
    <w:basedOn w:val="878"/>
    <w:next w:val="87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92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878"/>
    <w:next w:val="878"/>
    <w:uiPriority w:val="99"/>
    <w:unhideWhenUsed/>
    <w:pPr>
      <w:pBdr/>
      <w:spacing w:after="0" w:afterAutospacing="0"/>
      <w:ind/>
    </w:pPr>
  </w:style>
  <w:style w:type="paragraph" w:styleId="878" w:default="1">
    <w:name w:val="Normal"/>
    <w:qFormat/>
    <w:pPr>
      <w:widowControl w:val="true"/>
      <w:pBdr/>
      <w:spacing/>
      <w:ind/>
    </w:pPr>
    <w:rPr>
      <w:rFonts w:ascii="Arial" w:hAnsi="Arial"/>
      <w:sz w:val="22"/>
    </w:rPr>
  </w:style>
  <w:style w:type="paragraph" w:styleId="879">
    <w:name w:val="Header"/>
    <w:basedOn w:val="878"/>
    <w:link w:val="88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80" w:customStyle="1">
    <w:name w:val="Header Char"/>
    <w:basedOn w:val="892"/>
    <w:link w:val="879"/>
    <w:uiPriority w:val="99"/>
    <w:pPr>
      <w:pBdr/>
      <w:spacing/>
      <w:ind/>
    </w:pPr>
  </w:style>
  <w:style w:type="paragraph" w:styleId="881">
    <w:name w:val="Footer"/>
    <w:basedOn w:val="878"/>
    <w:link w:val="88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82" w:customStyle="1">
    <w:name w:val="Footer Char"/>
    <w:basedOn w:val="892"/>
    <w:link w:val="881"/>
    <w:uiPriority w:val="99"/>
    <w:pPr>
      <w:pBdr/>
      <w:spacing/>
      <w:ind/>
    </w:pPr>
  </w:style>
  <w:style w:type="paragraph" w:styleId="883">
    <w:name w:val="Heading 1"/>
    <w:basedOn w:val="878"/>
    <w:next w:val="878"/>
    <w:link w:val="89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84">
    <w:name w:val="Heading 2"/>
    <w:basedOn w:val="878"/>
    <w:next w:val="878"/>
    <w:link w:val="89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85">
    <w:name w:val="Heading 3"/>
    <w:basedOn w:val="878"/>
    <w:next w:val="878"/>
    <w:link w:val="89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86">
    <w:name w:val="Heading 4"/>
    <w:basedOn w:val="878"/>
    <w:next w:val="878"/>
    <w:link w:val="92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87">
    <w:name w:val="Heading 5"/>
    <w:basedOn w:val="878"/>
    <w:next w:val="878"/>
    <w:link w:val="92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88">
    <w:name w:val="Heading 6"/>
    <w:basedOn w:val="878"/>
    <w:next w:val="878"/>
    <w:link w:val="92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89">
    <w:name w:val="Heading 7"/>
    <w:basedOn w:val="878"/>
    <w:next w:val="878"/>
    <w:link w:val="92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90">
    <w:name w:val="Heading 8"/>
    <w:basedOn w:val="878"/>
    <w:next w:val="878"/>
    <w:link w:val="93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91">
    <w:name w:val="Heading 9"/>
    <w:basedOn w:val="878"/>
    <w:next w:val="878"/>
    <w:link w:val="93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92" w:default="1">
    <w:name w:val="Default Paragraph Font"/>
    <w:uiPriority w:val="1"/>
    <w:semiHidden/>
    <w:unhideWhenUsed/>
    <w:pPr>
      <w:pBdr/>
      <w:spacing/>
      <w:ind/>
    </w:pPr>
  </w:style>
  <w:style w:type="table" w:styleId="8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4" w:default="1">
    <w:name w:val="No List"/>
    <w:uiPriority w:val="99"/>
    <w:semiHidden/>
    <w:unhideWhenUsed/>
    <w:pPr>
      <w:pBdr/>
      <w:spacing/>
      <w:ind/>
    </w:pPr>
  </w:style>
  <w:style w:type="paragraph" w:styleId="895">
    <w:name w:val="No Spacing"/>
    <w:uiPriority w:val="1"/>
    <w:qFormat/>
    <w:pPr>
      <w:pBdr/>
      <w:spacing w:after="0" w:line="240" w:lineRule="auto"/>
      <w:ind/>
    </w:pPr>
  </w:style>
  <w:style w:type="character" w:styleId="896" w:customStyle="1">
    <w:name w:val="Heading 1 Char"/>
    <w:basedOn w:val="892"/>
    <w:link w:val="883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97" w:customStyle="1">
    <w:name w:val="Heading 2 Char"/>
    <w:basedOn w:val="892"/>
    <w:link w:val="884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98" w:customStyle="1">
    <w:name w:val="Heading 3 Char"/>
    <w:basedOn w:val="892"/>
    <w:link w:val="88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99">
    <w:name w:val="Title"/>
    <w:basedOn w:val="878"/>
    <w:next w:val="878"/>
    <w:link w:val="90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900" w:customStyle="1">
    <w:name w:val="Title Char"/>
    <w:basedOn w:val="892"/>
    <w:link w:val="89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901">
    <w:name w:val="Subtitle"/>
    <w:basedOn w:val="878"/>
    <w:next w:val="878"/>
    <w:link w:val="90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902" w:customStyle="1">
    <w:name w:val="Subtitle Char"/>
    <w:basedOn w:val="892"/>
    <w:link w:val="90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903">
    <w:name w:val="List Paragraph"/>
    <w:basedOn w:val="878"/>
    <w:uiPriority w:val="34"/>
    <w:qFormat/>
    <w:pPr>
      <w:pBdr/>
      <w:spacing/>
      <w:ind w:left="720"/>
      <w:contextualSpacing w:val="true"/>
    </w:pPr>
  </w:style>
  <w:style w:type="paragraph" w:styleId="904">
    <w:name w:val="Body Text"/>
    <w:basedOn w:val="878"/>
    <w:link w:val="905"/>
    <w:uiPriority w:val="99"/>
    <w:unhideWhenUsed/>
    <w:pPr>
      <w:pBdr/>
      <w:spacing w:after="120"/>
      <w:ind/>
    </w:pPr>
  </w:style>
  <w:style w:type="character" w:styleId="905" w:customStyle="1">
    <w:name w:val="Body Text Char"/>
    <w:basedOn w:val="892"/>
    <w:link w:val="904"/>
    <w:uiPriority w:val="99"/>
    <w:pPr>
      <w:pBdr/>
      <w:spacing/>
      <w:ind/>
    </w:pPr>
  </w:style>
  <w:style w:type="paragraph" w:styleId="906">
    <w:name w:val="Body Text 2"/>
    <w:basedOn w:val="878"/>
    <w:link w:val="907"/>
    <w:uiPriority w:val="99"/>
    <w:unhideWhenUsed/>
    <w:pPr>
      <w:pBdr/>
      <w:spacing w:after="120" w:line="480" w:lineRule="auto"/>
      <w:ind/>
    </w:pPr>
  </w:style>
  <w:style w:type="character" w:styleId="907" w:customStyle="1">
    <w:name w:val="Body Text 2 Char"/>
    <w:basedOn w:val="892"/>
    <w:link w:val="906"/>
    <w:uiPriority w:val="99"/>
    <w:pPr>
      <w:pBdr/>
      <w:spacing/>
      <w:ind/>
    </w:pPr>
  </w:style>
  <w:style w:type="paragraph" w:styleId="908">
    <w:name w:val="Body Text 3"/>
    <w:basedOn w:val="878"/>
    <w:link w:val="90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09" w:customStyle="1">
    <w:name w:val="Body Text 3 Char"/>
    <w:basedOn w:val="892"/>
    <w:link w:val="908"/>
    <w:uiPriority w:val="99"/>
    <w:pPr>
      <w:pBdr/>
      <w:spacing/>
      <w:ind/>
    </w:pPr>
    <w:rPr>
      <w:sz w:val="16"/>
      <w:szCs w:val="16"/>
    </w:rPr>
  </w:style>
  <w:style w:type="paragraph" w:styleId="910">
    <w:name w:val="List"/>
    <w:basedOn w:val="878"/>
    <w:uiPriority w:val="99"/>
    <w:unhideWhenUsed/>
    <w:pPr>
      <w:pBdr/>
      <w:spacing/>
      <w:ind w:hanging="360" w:left="360"/>
      <w:contextualSpacing w:val="true"/>
    </w:pPr>
  </w:style>
  <w:style w:type="paragraph" w:styleId="911">
    <w:name w:val="List 2"/>
    <w:basedOn w:val="878"/>
    <w:uiPriority w:val="99"/>
    <w:unhideWhenUsed/>
    <w:pPr>
      <w:pBdr/>
      <w:spacing/>
      <w:ind w:hanging="360" w:left="720"/>
      <w:contextualSpacing w:val="true"/>
    </w:pPr>
  </w:style>
  <w:style w:type="paragraph" w:styleId="912">
    <w:name w:val="List 3"/>
    <w:basedOn w:val="878"/>
    <w:uiPriority w:val="99"/>
    <w:unhideWhenUsed/>
    <w:pPr>
      <w:pBdr/>
      <w:spacing/>
      <w:ind w:hanging="360" w:left="1080"/>
      <w:contextualSpacing w:val="true"/>
    </w:pPr>
  </w:style>
  <w:style w:type="paragraph" w:styleId="913">
    <w:name w:val="List Bullet"/>
    <w:basedOn w:val="87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14">
    <w:name w:val="List Bullet 2"/>
    <w:basedOn w:val="87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15">
    <w:name w:val="List Bullet 3"/>
    <w:basedOn w:val="87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16">
    <w:name w:val="List Number"/>
    <w:basedOn w:val="87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17">
    <w:name w:val="List Number 2"/>
    <w:basedOn w:val="87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18">
    <w:name w:val="List Number 3"/>
    <w:basedOn w:val="87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19">
    <w:name w:val="List Continue"/>
    <w:basedOn w:val="878"/>
    <w:uiPriority w:val="99"/>
    <w:unhideWhenUsed/>
    <w:pPr>
      <w:pBdr/>
      <w:spacing w:after="120"/>
      <w:ind w:left="360"/>
      <w:contextualSpacing w:val="true"/>
    </w:pPr>
  </w:style>
  <w:style w:type="paragraph" w:styleId="920">
    <w:name w:val="List Continue 2"/>
    <w:basedOn w:val="878"/>
    <w:uiPriority w:val="99"/>
    <w:unhideWhenUsed/>
    <w:pPr>
      <w:pBdr/>
      <w:spacing w:after="120"/>
      <w:ind w:left="720"/>
      <w:contextualSpacing w:val="true"/>
    </w:pPr>
  </w:style>
  <w:style w:type="paragraph" w:styleId="921">
    <w:name w:val="List Continue 3"/>
    <w:basedOn w:val="878"/>
    <w:uiPriority w:val="99"/>
    <w:unhideWhenUsed/>
    <w:pPr>
      <w:pBdr/>
      <w:spacing w:after="120"/>
      <w:ind w:left="1080"/>
      <w:contextualSpacing w:val="true"/>
    </w:pPr>
  </w:style>
  <w:style w:type="paragraph" w:styleId="922">
    <w:name w:val="macro"/>
    <w:link w:val="92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23" w:customStyle="1">
    <w:name w:val="Macro Text Char"/>
    <w:basedOn w:val="892"/>
    <w:link w:val="92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24">
    <w:name w:val="Quote"/>
    <w:basedOn w:val="878"/>
    <w:next w:val="878"/>
    <w:link w:val="92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25" w:customStyle="1">
    <w:name w:val="Quote Char"/>
    <w:basedOn w:val="892"/>
    <w:link w:val="924"/>
    <w:uiPriority w:val="29"/>
    <w:pPr>
      <w:pBdr/>
      <w:spacing/>
      <w:ind/>
    </w:pPr>
    <w:rPr>
      <w:i/>
      <w:iCs/>
      <w:color w:val="000000" w:themeColor="text1"/>
    </w:rPr>
  </w:style>
  <w:style w:type="character" w:styleId="926" w:customStyle="1">
    <w:name w:val="Heading 4 Char"/>
    <w:basedOn w:val="892"/>
    <w:link w:val="886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27" w:customStyle="1">
    <w:name w:val="Heading 5 Char"/>
    <w:basedOn w:val="892"/>
    <w:link w:val="887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28" w:customStyle="1">
    <w:name w:val="Heading 6 Char"/>
    <w:basedOn w:val="892"/>
    <w:link w:val="888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29" w:customStyle="1">
    <w:name w:val="Heading 7 Char"/>
    <w:basedOn w:val="892"/>
    <w:link w:val="88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30" w:customStyle="1">
    <w:name w:val="Heading 8 Char"/>
    <w:basedOn w:val="892"/>
    <w:link w:val="89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31" w:customStyle="1">
    <w:name w:val="Heading 9 Char"/>
    <w:basedOn w:val="892"/>
    <w:link w:val="89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32">
    <w:name w:val="Caption"/>
    <w:basedOn w:val="878"/>
    <w:next w:val="87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33">
    <w:name w:val="Strong"/>
    <w:basedOn w:val="892"/>
    <w:uiPriority w:val="22"/>
    <w:qFormat/>
    <w:pPr>
      <w:pBdr/>
      <w:spacing/>
      <w:ind/>
    </w:pPr>
    <w:rPr>
      <w:b/>
      <w:bCs/>
    </w:rPr>
  </w:style>
  <w:style w:type="character" w:styleId="934">
    <w:name w:val="Emphasis"/>
    <w:basedOn w:val="892"/>
    <w:uiPriority w:val="20"/>
    <w:qFormat/>
    <w:pPr>
      <w:pBdr/>
      <w:spacing/>
      <w:ind/>
    </w:pPr>
    <w:rPr>
      <w:i/>
      <w:iCs/>
    </w:rPr>
  </w:style>
  <w:style w:type="paragraph" w:styleId="935">
    <w:name w:val="Intense Quote"/>
    <w:basedOn w:val="878"/>
    <w:next w:val="878"/>
    <w:link w:val="93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36" w:customStyle="1">
    <w:name w:val="Intense Quote Char"/>
    <w:basedOn w:val="892"/>
    <w:link w:val="93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37">
    <w:name w:val="Subtle Emphasis"/>
    <w:basedOn w:val="892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38">
    <w:name w:val="Intense Emphasis"/>
    <w:basedOn w:val="892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39">
    <w:name w:val="Subtle Reference"/>
    <w:basedOn w:val="892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40">
    <w:name w:val="Intense Reference"/>
    <w:basedOn w:val="892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41">
    <w:name w:val="Book Title"/>
    <w:basedOn w:val="892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42">
    <w:name w:val="TOC Heading"/>
    <w:basedOn w:val="883"/>
    <w:next w:val="878"/>
    <w:uiPriority w:val="39"/>
    <w:semiHidden/>
    <w:unhideWhenUsed/>
    <w:qFormat/>
    <w:pPr>
      <w:pBdr/>
      <w:spacing/>
      <w:ind/>
      <w:outlineLvl w:val="9"/>
    </w:pPr>
  </w:style>
  <w:style w:type="table" w:styleId="943">
    <w:name w:val="Table Grid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ght Shading"/>
    <w:basedOn w:val="893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ght Shading Accent 1"/>
    <w:basedOn w:val="893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ght Shading Accent 2"/>
    <w:basedOn w:val="893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ght Shading Accent 3"/>
    <w:basedOn w:val="893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ght Shading Accent 4"/>
    <w:basedOn w:val="893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ght Shading Accent 5"/>
    <w:basedOn w:val="893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Shading Accent 6"/>
    <w:basedOn w:val="893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List"/>
    <w:basedOn w:val="89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List Accent 1"/>
    <w:basedOn w:val="89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List Accent 2"/>
    <w:basedOn w:val="89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List Accent 3"/>
    <w:basedOn w:val="89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List Accent 4"/>
    <w:basedOn w:val="89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ght List Accent 5"/>
    <w:basedOn w:val="89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ght List Accent 6"/>
    <w:basedOn w:val="89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ght Grid"/>
    <w:basedOn w:val="89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ght Grid Accent 1"/>
    <w:basedOn w:val="89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ght Grid Accent 2"/>
    <w:basedOn w:val="89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ght Grid Accent 3"/>
    <w:basedOn w:val="89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ght Grid Accent 4"/>
    <w:basedOn w:val="89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ght Grid Accent 5"/>
    <w:basedOn w:val="89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ght Grid Accent 6"/>
    <w:basedOn w:val="89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Medium Shading 1"/>
    <w:basedOn w:val="89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Medium Shading 1 Accent 1"/>
    <w:basedOn w:val="89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Medium Shading 1 Accent 2"/>
    <w:basedOn w:val="89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Medium Shading 1 Accent 3"/>
    <w:basedOn w:val="89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Medium Shading 1 Accent 4"/>
    <w:basedOn w:val="89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Medium Shading 1 Accent 5"/>
    <w:basedOn w:val="89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Shading 1 Accent 6"/>
    <w:basedOn w:val="89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Shading 2"/>
    <w:basedOn w:val="89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Shading 2 Accent 1"/>
    <w:basedOn w:val="89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Shading 2 Accent 2"/>
    <w:basedOn w:val="89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Shading 2 Accent 3"/>
    <w:basedOn w:val="89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Shading 2 Accent 4"/>
    <w:basedOn w:val="89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Shading 2 Accent 5"/>
    <w:basedOn w:val="89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Shading 2 Accent 6"/>
    <w:basedOn w:val="89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List 1"/>
    <w:basedOn w:val="89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List 1 Accent 1"/>
    <w:basedOn w:val="89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List 1 Accent 2"/>
    <w:basedOn w:val="89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List 1 Accent 3"/>
    <w:basedOn w:val="89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List 1 Accent 4"/>
    <w:basedOn w:val="89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List 1 Accent 5"/>
    <w:basedOn w:val="89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List 1 Accent 6"/>
    <w:basedOn w:val="89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List 2"/>
    <w:basedOn w:val="89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List 2 Accent 1"/>
    <w:basedOn w:val="89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List 2 Accent 2"/>
    <w:basedOn w:val="89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List 2 Accent 3"/>
    <w:basedOn w:val="89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List 2 Accent 4"/>
    <w:basedOn w:val="89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List 2 Accent 5"/>
    <w:basedOn w:val="89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List 2 Accent 6"/>
    <w:basedOn w:val="89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Grid 1"/>
    <w:basedOn w:val="89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Grid 1 Accent 1"/>
    <w:basedOn w:val="89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Grid 1 Accent 2"/>
    <w:basedOn w:val="89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Grid 1 Accent 3"/>
    <w:basedOn w:val="89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Grid 1 Accent 4"/>
    <w:basedOn w:val="89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Grid 1 Accent 5"/>
    <w:basedOn w:val="89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1 Accent 6"/>
    <w:basedOn w:val="89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2"/>
    <w:basedOn w:val="89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2 Accent 1"/>
    <w:basedOn w:val="89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2 Accent 2"/>
    <w:basedOn w:val="89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2 Accent 3"/>
    <w:basedOn w:val="89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2 Accent 4"/>
    <w:basedOn w:val="89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Medium Grid 2 Accent 5"/>
    <w:basedOn w:val="89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Medium Grid 2 Accent 6"/>
    <w:basedOn w:val="89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Medium Grid 3"/>
    <w:basedOn w:val="89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Medium Grid 3 Accent 1"/>
    <w:basedOn w:val="89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Medium Grid 3 Accent 2"/>
    <w:basedOn w:val="89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Medium Grid 3 Accent 3"/>
    <w:basedOn w:val="89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Medium Grid 3 Accent 4"/>
    <w:basedOn w:val="89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Medium Grid 3 Accent 5"/>
    <w:basedOn w:val="89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Medium Grid 3 Accent 6"/>
    <w:basedOn w:val="89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Dark List"/>
    <w:basedOn w:val="89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Dark List Accent 1"/>
    <w:basedOn w:val="89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Dark List Accent 2"/>
    <w:basedOn w:val="89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Dark List Accent 3"/>
    <w:basedOn w:val="89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Dark List Accent 4"/>
    <w:basedOn w:val="89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Dark List Accent 5"/>
    <w:basedOn w:val="89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Dark List Accent 6"/>
    <w:basedOn w:val="89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Colorful Shading"/>
    <w:basedOn w:val="89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Colorful Shading Accent 1"/>
    <w:basedOn w:val="89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Colorful Shading Accent 2"/>
    <w:basedOn w:val="89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Colorful Shading Accent 3"/>
    <w:basedOn w:val="89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Colorful Shading Accent 4"/>
    <w:basedOn w:val="89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Colorful Shading Accent 5"/>
    <w:basedOn w:val="89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Shading Accent 6"/>
    <w:basedOn w:val="89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List"/>
    <w:basedOn w:val="89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List Accent 1"/>
    <w:basedOn w:val="89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List Accent 2"/>
    <w:basedOn w:val="89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List Accent 3"/>
    <w:basedOn w:val="89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List Accent 4"/>
    <w:basedOn w:val="89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Colorful List Accent 5"/>
    <w:basedOn w:val="89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Colorful List Accent 6"/>
    <w:basedOn w:val="89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Colorful Grid"/>
    <w:basedOn w:val="89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Colorful Grid Accent 1"/>
    <w:basedOn w:val="89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Colorful Grid Accent 2"/>
    <w:basedOn w:val="89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Colorful Grid Accent 3"/>
    <w:basedOn w:val="89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Colorful Grid Accent 4"/>
    <w:basedOn w:val="89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Colorful Grid Accent 5"/>
    <w:basedOn w:val="89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Colorful Grid Accent 6"/>
    <w:basedOn w:val="89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Código ético y de conducta profesional de TXDX-CSIRT</dc:title>
  <dc:subject>Código de ética y conducta profesional del TXDXSecure Computer Security Incident Response Team</dc:subject>
  <dc:creator>TXDXSecure / TXDX-CSIRT</dc:creator>
  <cp:keywords>TXDX-CSIRT, EthicsfIRST, FIRST, Code of Ethics, CSIRT, TLP:CLEAR</cp:keywords>
  <dc:description>Versión 0.1 - documento para revisión y aprobación interna.</dc:description>
  <cp:revision>2</cp:revision>
  <dcterms:created xsi:type="dcterms:W3CDTF">2013-12-23T23:15:00Z</dcterms:created>
  <dcterms:modified xsi:type="dcterms:W3CDTF">2026-09-02T18:18:39Z</dcterms:modified>
  <cp:category/>
</cp:coreProperties>
</file>