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Descripción del CSIRT para TXDX-CSIRT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--------------------------------------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1. Acerca de este documento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1.1 Fecha de la última actualización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Esta es la versión 0.1, publicada 2026/09/02.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1.2 Lista de distribución para notificaciones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6F004462">
      <w:pPr>
        <w:keepNext w:val="false"/>
        <w:keepLines w:val="false"/>
        <w:widowControl w:val="false"/>
        <w:pBdr/>
        <w:spacing w:after="0" w:before="0" w:line="220" w:lineRule="exact"/>
        <w:ind w:left="709"/>
        <w:jc w:val="both"/>
        <w:rPr/>
      </w:pPr>
      <w:r>
        <w:rPr>
          <w:rFonts w:ascii="Courier" w:hAnsi="Courier" w:cs="Courier"/>
          <w:sz w:val="20"/>
        </w:rPr>
        <w:t xml:space="preserve">Las notificaciones de actualizaciones de este documento se</w:t>
      </w:r>
      <w:r>
        <w:rPr>
          <w:rFonts w:ascii="Courier" w:hAnsi="Courier" w:cs="Courier"/>
          <w:sz w:val="20"/>
          <w:lang w:val="es-ES"/>
        </w:rPr>
        <w:t xml:space="preserve">  </w:t>
      </w:r>
      <w:r>
        <w:rPr>
          <w:rFonts w:ascii="Courier" w:hAnsi="Courier" w:cs="Courier"/>
          <w:sz w:val="20"/>
        </w:rPr>
        <w:t xml:space="preserve"> enviarán a nuestra lista de distribución txdx-csirt-info@txdxsecure.com.</w:t>
      </w:r>
      <w:r>
        <w:rPr>
          <w:rFonts w:ascii="Courier" w:hAnsi="Courier" w:cs="Courier"/>
          <w:sz w:val="20"/>
        </w:rPr>
      </w:r>
    </w:p>
    <w:p w14:paraId="7C987ECB">
      <w:pPr>
        <w:keepNext w:val="false"/>
        <w:keepLines w:val="false"/>
        <w:widowControl w:val="false"/>
        <w:pBdr/>
        <w:spacing w:after="0" w:before="0" w:line="220" w:lineRule="exact"/>
        <w:ind w:left="709"/>
        <w:jc w:val="both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67946EE8">
      <w:pPr>
        <w:keepNext w:val="false"/>
        <w:keepLines w:val="false"/>
        <w:widowControl w:val="false"/>
        <w:pBdr/>
        <w:spacing w:after="0" w:before="0" w:line="220" w:lineRule="exact"/>
        <w:ind w:left="709"/>
        <w:jc w:val="both"/>
        <w:rPr/>
      </w:pPr>
      <w:r>
        <w:rPr>
          <w:rFonts w:ascii="Courier" w:hAnsi="Courier" w:cs="Courier"/>
          <w:sz w:val="20"/>
        </w:rPr>
        <w:t xml:space="preserve">Las solicitudes de suscripción a esta lista deberán enviarse a txdx-csirt-info-request@txdxsecure.com. El cuerpo del mensaje deberá contener la palabra "subscribe".</w:t>
      </w:r>
      <w:r>
        <w:rPr>
          <w:rFonts w:ascii="Courier" w:hAnsi="Courier" w:cs="Courier"/>
          <w:sz w:val="20"/>
        </w:rPr>
      </w:r>
    </w:p>
    <w:p w14:paraId="09FE5725">
      <w:pPr>
        <w:keepNext w:val="false"/>
        <w:keepLines w:val="false"/>
        <w:widowControl w:val="false"/>
        <w:pBdr/>
        <w:spacing w:after="0" w:before="0" w:line="220" w:lineRule="exact"/>
        <w:ind w:left="709"/>
        <w:jc w:val="both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57D2CC84">
      <w:pPr>
        <w:keepNext w:val="false"/>
        <w:keepLines w:val="false"/>
        <w:widowControl w:val="false"/>
        <w:pBdr/>
        <w:spacing w:after="0" w:before="0" w:line="220" w:lineRule="exact"/>
        <w:ind w:left="709"/>
        <w:jc w:val="both"/>
        <w:rPr/>
      </w:pPr>
      <w:r>
        <w:rPr>
          <w:rFonts w:ascii="Courier" w:hAnsi="Courier" w:cs="Courier"/>
          <w:sz w:val="20"/>
        </w:rPr>
        <w:t xml:space="preserve">Esta lista de distribución es moderada.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1.3 Ubicaciones donde puede encontrarse este documento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23C5DEEE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 versión vigente de este documento de descripción de TXDX-CSIRT estará disponible en el sitio web oficial de TXDX-CSIRT, en:</w:t>
      </w:r>
      <w:r>
        <w:rPr>
          <w:rFonts w:ascii="Courier" w:hAnsi="Courier" w:cs="Courier"/>
          <w:sz w:val="20"/>
        </w:rPr>
      </w:r>
    </w:p>
    <w:p w14:paraId="14F347CB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71CD8D8D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https://csirt.txdxsecure.com/rfc2350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  <w:lang w:val="es-ES"/>
        </w:rPr>
      </w:r>
      <w:r/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1.4 Autenticación de este documento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67E44BCE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 versión oficial de este documento está firmada con la clave PGP</w:t>
      </w:r>
      <w:r>
        <w:rPr>
          <w:rFonts w:ascii="Courier" w:hAnsi="Courier" w:cs="Courier"/>
          <w:sz w:val="20"/>
        </w:rPr>
      </w:r>
    </w:p>
    <w:p w14:paraId="6F84E109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de TXDX-CSIRT. La firma se encuentra disponible en el sitio web</w:t>
      </w:r>
      <w:r>
        <w:rPr>
          <w:rFonts w:ascii="Courier" w:hAnsi="Courier" w:cs="Courier"/>
          <w:sz w:val="20"/>
        </w:rPr>
      </w:r>
    </w:p>
    <w:p w14:paraId="663811DC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oficial del equipo, en:</w:t>
      </w:r>
      <w:r>
        <w:rPr>
          <w:rFonts w:ascii="Courier" w:hAnsi="Courier" w:cs="Courier"/>
          <w:sz w:val="20"/>
        </w:rPr>
      </w:r>
    </w:p>
    <w:p w14:paraId="7F6A47ED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2A9ABF67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https://csirt.txdxsecure.com/rfc2350.asc</w:t>
      </w:r>
      <w:r>
        <w:rPr>
          <w:rFonts w:ascii="Courier" w:hAnsi="Courier" w:cs="Courier"/>
          <w:sz w:val="20"/>
        </w:rPr>
      </w:r>
    </w:p>
    <w:p w14:paraId="1E204D97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72B6F98C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 información de la clave PGP utilizada para verificar esta firma</w:t>
      </w:r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se encuentra en la sección 2.8 de este documento.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 Información de contacto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2.1 Nombre del equipo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firstLine="720"/>
        <w:rPr/>
      </w:pPr>
      <w:r>
        <w:rPr>
          <w:rFonts w:ascii="Courier" w:hAnsi="Courier" w:cs="Courier"/>
          <w:sz w:val="20"/>
        </w:rPr>
        <w:t xml:space="preserve">"TXDX-CSIRT": el Equipo de Respuesta a Incidentes de Seguridad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Informática de TXDXSecure.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2.2 Dirección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firstLine="720"/>
        <w:rPr/>
      </w:pPr>
      <w:r>
        <w:t xml:space="preserve">TXDX-CSIRT</w:t>
        <w:br/>
        <w:tab/>
        <w:t xml:space="preserve">TXDXSecure</w:t>
        <w:br/>
        <w:tab/>
        <w:t xml:space="preserve">Cal. Las Gorsellas Nro. 167</w:t>
        <w:br/>
        <w:tab/>
        <w:t xml:space="preserve">Lima, Perú</w:t>
      </w: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2.3 Zona horaria</w:t>
      </w:r>
      <w:r/>
    </w:p>
    <w:p w14:paraId="37193C82"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firstLine="720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Lima, Perú (GMT-0500).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2.4 Número de teléfono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227D603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720" w:left="0"/>
        <w:rPr/>
      </w:pPr>
      <w:r>
        <w:rPr>
          <w:rFonts w:ascii="Courier New" w:hAnsi="Courier New" w:eastAsia="Courier New" w:cs="Courier New"/>
          <w:color w:val="000000"/>
          <w:sz w:val="20"/>
        </w:rPr>
        <w:t xml:space="preserve">+51 999 379 845 (preguntar por TXDX-CSIRT)</w:t>
      </w:r>
      <w:r>
        <w:rPr>
          <w:rFonts w:ascii="Courier" w:hAnsi="Courier" w:cs="Courier"/>
          <w:sz w:val="20"/>
        </w:rPr>
      </w:r>
      <w:r/>
      <w:r/>
      <w:r>
        <w:rPr>
          <w:sz w:val="24"/>
        </w:rPr>
      </w:r>
      <w:r>
        <w:rPr>
          <w:rFonts w:ascii="Courier" w:hAnsi="Courier" w:cs="Courier"/>
          <w:sz w:val="20"/>
          <w:lang w:val="es-ES"/>
        </w:rPr>
      </w:r>
      <w:r/>
      <w:r>
        <w:rPr>
          <w:sz w:val="24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2.5 Número de facsímil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No disponible.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2.6 Otras telecomunicaciones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</w:t>
      </w:r>
      <w:r>
        <w:rPr>
          <w:rFonts w:ascii="Courier" w:hAnsi="Courier" w:cs="Courier"/>
          <w:sz w:val="20"/>
        </w:rPr>
        <w:t xml:space="preserve">WhatsApp: +1 (203) 506-5152</w:t>
      </w: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2.7 Dirección de correo electrónico</w:t>
      </w:r>
      <w:r/>
    </w:p>
    <w:p w14:paraId="07321064"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firstLine="720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csirt@txdxsecure.com</w:t>
      </w:r>
      <w:r>
        <w:rPr>
          <w:rFonts w:ascii="Courier" w:hAnsi="Courier" w:cs="Courier"/>
          <w:sz w:val="20"/>
        </w:rPr>
        <w:t xml:space="preserve">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2.8 Claves públicas y otra información de cifrado</w:t>
      </w:r>
      <w:r/>
    </w:p>
    <w:p w14:paraId="3C0ED067">
      <w:pPr>
        <w:keepNext w:val="false"/>
        <w:keepLines w:val="false"/>
        <w:widowControl w:val="false"/>
        <w:pBdr/>
        <w:spacing w:after="0" w:before="0" w:line="220" w:lineRule="exact"/>
        <w:ind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 w14:paraId="0935CCA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dispone de una clave PGP cuyo identificador es</w:t>
      </w:r>
      <w:r>
        <w:rPr>
          <w:rFonts w:ascii="Courier" w:hAnsi="Courier" w:cs="Courier"/>
          <w:sz w:val="20"/>
        </w:rPr>
      </w:r>
    </w:p>
    <w:p w14:paraId="373F4F70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7336FE1747A82437 y cuya huella digital es:</w:t>
      </w:r>
      <w:r>
        <w:rPr>
          <w:rFonts w:ascii="Courier" w:hAnsi="Courier" w:cs="Courier"/>
          <w:sz w:val="20"/>
        </w:rPr>
      </w:r>
    </w:p>
    <w:p w14:paraId="2B339C2A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22A70C7D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222F 4117 9D37 6834 37F2 ED6F 7336 FE17 47A8 2437</w:t>
      </w:r>
      <w:r>
        <w:rPr>
          <w:rFonts w:ascii="Courier" w:hAnsi="Courier" w:cs="Courier"/>
          <w:sz w:val="20"/>
        </w:rPr>
      </w:r>
    </w:p>
    <w:p w14:paraId="53DBC9B4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26C2D8A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 clave pública de TXDX-CSIRT se encuentra disponible en:</w:t>
      </w:r>
      <w:r>
        <w:rPr>
          <w:rFonts w:ascii="Courier" w:hAnsi="Courier" w:cs="Courier"/>
          <w:sz w:val="20"/>
        </w:rPr>
      </w:r>
    </w:p>
    <w:p w14:paraId="1ADEEFD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65164CC9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https://csirt.txdxsecure.com/pgp-key.asc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2.9 Miembros del equipo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t xml:space="preserve">[</w:t>
      </w:r>
      <w:r>
        <w:t xml:space="preserve">Nombre y Apellido] es el Coordinador de TXDX-CSIRT. </w:t>
      </w:r>
      <w:r/>
    </w:p>
    <w:p w14:paraId="363A57E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t xml:space="preserve"> </w:t>
      </w:r>
      <w:r/>
      <w:r/>
    </w:p>
    <w:p w14:paraId="2B6D6E33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t xml:space="preserve">Los demás miembros de TXDX-CSIRT son:  </w:t>
      </w:r>
      <w:r/>
    </w:p>
    <w:p w14:paraId="4321DABC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t xml:space="preserve">- [Nombre y Apellido] </w:t>
      </w:r>
      <w:r/>
      <w:r>
        <w:t xml:space="preserve">– [función / especialidad] </w:t>
      </w:r>
      <w:r/>
    </w:p>
    <w:p w14:paraId="1A490CC1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t xml:space="preserve">- [Nombre y Apellido] – [función / especialidad] </w:t>
      </w:r>
      <w:r/>
    </w:p>
    <w:p w14:paraId="089EF85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t xml:space="preserve">- [Nombre y Apellido] – [función / especialidad]  </w:t>
      </w:r>
      <w:r/>
    </w:p>
    <w:p w14:paraId="07F72330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7289B0B"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t xml:space="preserve">La gestión, enl</w:t>
      </w:r>
      <w:r>
        <w:t xml:space="preserve">ace y supervisión de TXDX-CSIRT están a cargo de [Nombre y Apellido], [cargo].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2.10 Otra información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Pendiente de publicación.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2.11 Puntos de contacto con los clientes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631F84A3">
      <w:pPr>
        <w:keepNext w:val="false"/>
        <w:keepLines w:val="false"/>
        <w:widowControl w:val="false"/>
        <w:pBdr/>
        <w:spacing w:after="0" w:before="0" w:line="220" w:lineRule="exact"/>
        <w:ind w:firstLine="0" w:left="709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El método preferido para contactar con TXDX-CSIRT es mediante correo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electrónico a csirt@txdxsecure.com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245A1159">
      <w:pPr>
        <w:keepNext w:val="false"/>
        <w:keepLines w:val="false"/>
        <w:widowControl w:val="false"/>
        <w:pBdr/>
        <w:spacing w:after="0" w:before="0" w:line="220" w:lineRule="exact"/>
        <w:ind w:firstLine="0" w:left="709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 w14:paraId="6C154965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Para comunicaciones directas o que requieran atención urgente,</w:t>
      </w:r>
      <w:r>
        <w:rPr>
          <w:rFonts w:ascii="Courier" w:hAnsi="Courier" w:cs="Courier"/>
          <w:sz w:val="20"/>
        </w:rPr>
      </w:r>
    </w:p>
    <w:p w14:paraId="70BD6013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puede ser contactado mediante WhatsApp en:</w:t>
      </w:r>
      <w:r>
        <w:rPr>
          <w:rFonts w:ascii="Courier" w:hAnsi="Courier" w:cs="Courier"/>
          <w:sz w:val="20"/>
        </w:rPr>
      </w:r>
    </w:p>
    <w:p w14:paraId="0697CA34">
      <w:pPr>
        <w:keepNext w:val="false"/>
        <w:keepLines w:val="false"/>
        <w:widowControl w:val="false"/>
        <w:pBdr/>
        <w:spacing w:after="0" w:before="0" w:line="220" w:lineRule="exact"/>
        <w:ind w:left="1417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7FFDBC13">
      <w:pPr>
        <w:keepNext w:val="false"/>
        <w:keepLines w:val="false"/>
        <w:widowControl w:val="false"/>
        <w:pBdr/>
        <w:spacing w:after="0" w:before="0" w:line="220" w:lineRule="exact"/>
        <w:ind w:firstLine="11" w:left="1429"/>
        <w:rPr/>
      </w:pPr>
      <w:r>
        <w:rPr>
          <w:rFonts w:ascii="Courier" w:hAnsi="Courier" w:cs="Courier"/>
          <w:sz w:val="20"/>
        </w:rPr>
        <w:t xml:space="preserve">+1 (203) 506-5152</w:t>
      </w:r>
      <w:r>
        <w:rPr>
          <w:rFonts w:ascii="Courier" w:hAnsi="Courier" w:cs="Courier"/>
          <w:sz w:val="20"/>
        </w:rPr>
      </w:r>
    </w:p>
    <w:p w14:paraId="4A849E67">
      <w:pPr>
        <w:keepNext w:val="false"/>
        <w:keepLines w:val="false"/>
        <w:widowControl w:val="false"/>
        <w:pBdr/>
        <w:spacing w:after="0" w:before="0" w:line="220" w:lineRule="exact"/>
        <w:ind w:left="1417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12E4E44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También puede contactarse telefónicamente al:</w:t>
      </w:r>
      <w:r>
        <w:rPr>
          <w:rFonts w:ascii="Courier" w:hAnsi="Courier" w:cs="Courier"/>
          <w:sz w:val="20"/>
        </w:rPr>
      </w:r>
    </w:p>
    <w:p w14:paraId="23FC85F7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64DF7497">
      <w:pPr>
        <w:keepNext w:val="false"/>
        <w:keepLines w:val="false"/>
        <w:widowControl w:val="false"/>
        <w:pBdr/>
        <w:spacing w:after="0" w:before="0" w:line="220" w:lineRule="exact"/>
        <w:ind w:firstLine="0" w:left="1429"/>
        <w:rPr/>
      </w:pPr>
      <w:r>
        <w:rPr>
          <w:rFonts w:ascii="Courier" w:hAnsi="Courier" w:cs="Courier"/>
          <w:sz w:val="20"/>
        </w:rPr>
        <w:t xml:space="preserve">+51 999 379 845 (preguntar por TXDX-CSIRT)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3. Mandato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3.1 Declaración de misión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El propósito de TXDX-CSIRT es, en primer lugar, asistir a los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miembros de su comunidad atendida en la implementación de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medidas proactivas para reducir los riesgos de incidentes de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seguridad informática y, en segundo lugar, asistir a dicha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comunidad en la respuesta a esos incidentes cuando ocurran.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3.2 Comunidad atendida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La comunidad atendida por TXDX-CSIRT comprende a TXDXSecure y 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las organizaciones clientes para las cuales TXDXSecure tenga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formalmente contratados servicios de respuesta, coordinación 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gestión de incidentes de seguridad. La identidad de clientes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específicos no se publicará cuando deba mantenerse confidencial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por obligaciones contractuales.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3.3 Patrocinio y/o afiliación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TXDX-CSIRT es patrocinado por TXDXSecure. No se declaran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afiliaciones formales con otros CSIRT u organizaciones en esta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versión del documento.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3.4 Autoridad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4767DB4B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opera bajo la autoridad delegada por la Dirección de</w:t>
      </w:r>
      <w:r>
        <w:rPr>
          <w:rFonts w:ascii="Courier" w:hAnsi="Courier" w:cs="Courier"/>
          <w:sz w:val="20"/>
        </w:rPr>
      </w:r>
    </w:p>
    <w:p w14:paraId="0E48F11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TXDXSecure.</w:t>
      </w:r>
      <w:r>
        <w:rPr>
          <w:rFonts w:ascii="Courier" w:hAnsi="Courier" w:cs="Courier"/>
          <w:sz w:val="20"/>
        </w:rPr>
      </w:r>
    </w:p>
    <w:p w14:paraId="78B30B63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74114C05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tiene autoridad para coordinar y ejecutar actividades de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respuesta a incidentes sobre los sistemas y activos de TXDXSecure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dentro del alcance establecido por la organización.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6C535965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63262713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En el caso de organizaciones clientes, la autoridad de TXDX-CSIRT</w:t>
      </w:r>
      <w:r>
        <w:rPr>
          <w:rFonts w:ascii="Courier" w:hAnsi="Courier" w:cs="Courier"/>
          <w:sz w:val="20"/>
        </w:rPr>
      </w:r>
    </w:p>
    <w:p w14:paraId="47ECD791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estará limitada al alcance expresamente establecido mediante contrato,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acuerdo o autorización correspondiente.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  <w:szCs w:val="20"/>
          <w:highlight w:val="none"/>
        </w:rPr>
      </w:r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4. Políticas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4.1 Tipos de incidentes y nivel de soporte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está destinado a atender incidentes de seguridad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informática que ocurran, o amenacen con ocurrir, dentro de su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comunidad atendida.</w:t>
      </w:r>
      <w:r/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El nivel de soporte podrá variar según el tipo y la gravedad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del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incidente, el tipo de integrante de la comunidad atendida,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extensión de los sistemas afectados y los recursos disponibles</w:t>
      </w:r>
      <w:r>
        <w:rPr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del TXDX-CSIRT. Los recursos se asignarán considerando, entre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otros, los siguientes tipos de incidentes: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Amenazas a la seguridad física de personas.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Ataques con privilegios elevados o a nivel de sistema contra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infraestructura crítica, sistemas de gestión o componentes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esenciales de red.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Ataques con privilegios elevados o a nivel de sistema contra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servicios públicos o sistemas de propósito específico.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Compromiso de cuentas restringidas, privilegiadas o de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administración, especialmente cuando permitan acceder 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información confidencial o gestionar sistemas.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Ataques de denegación de servicio contra sistemas o servicios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de la comunidad atendida.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Incidentes que se originen en sistemas de la comunidad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atendida y afecten a terceros.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Ataques de gran escala, incluidos intentos de captura de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tráfico, ingeniería social o ataques contra credenciales.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Compromiso de cuentas de usuario.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Compromiso de estaciones de trabajo, servidores u otros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sistemas.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Suplantación, falsificación y otras violaciones relacionadas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con la seguridad.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Los incidentes no mencionados expresamente se priorizarán de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acuerdo con su gravedad y alcance aparentes.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El nivel y la modalidad de soporte a usuarios finales,</w:t>
      </w:r>
      <w:r/>
      <w:r>
        <w:rPr>
          <w:rFonts w:ascii="Courier" w:hAnsi="Courier" w:cs="Courier"/>
          <w:sz w:val="20"/>
        </w:rPr>
        <w:t xml:space="preserve">administradores o clientes dependerán del alcance aplicable 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cada integrante de la comunidad atendida. TXDX-CSIRT procurará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proporcionar la información y asistencia apropiadas para el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manejo del incidente.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procurará mantener informada a su comunidad atendida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sobre vulnerabilidades relevantes y, cuando sea posible y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apropiado, comunicar medidas que permitan reducir el riesgo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antes de que dichas vulnerabilidades sean explotadas.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4.2 Cooperación, interacción y divulgación de información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respetará las restricciones legales, contractuales y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éticas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aplicables al flujo de información y procurará cooperar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con otros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equipos y organizaciones cuando ello contribuya 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resolver o prevenir incidentes de seguridad.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Se adoptarán medidas apropiadas para proteger la identidad y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información sensible de los integrantes de la comunidad atendida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y de terceros afectados. La información se compartirá únicamente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cuando resulte apropiado para la gestión del incidente y de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acuerdo con las restricciones aplicables.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En los párrafos siguientes, "partes afectadas" se refiere a los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propietarios, operadores y usuarios legítimos de los sistemas o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servicios pertinentes. No incluye a usuarios que actúen sin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autorización o que excedan la autorización que les fue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concedida. Cualquier derecho legal aplicable será respetado.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 información considerada para divulgación se clasificará de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siguiente manera: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- Información privada de usuarios: información sobre usuarios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c</w:t>
      </w:r>
      <w:r>
        <w:rPr>
          <w:rFonts w:ascii="Courier" w:hAnsi="Courier" w:cs="Courier"/>
          <w:sz w:val="20"/>
        </w:rPr>
        <w:t xml:space="preserve">oncretos o aplicaciones que deba considerarse confidencial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por razones legales, contractuales o éticas. No se divulgará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de forma identificable fuera de TXDX-CSIRT salvo cuando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exista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/>
      <w:r>
        <w:rPr>
          <w:rFonts w:ascii="Courier" w:hAnsi="Courier" w:cs="Courier"/>
          <w:sz w:val="20"/>
        </w:rPr>
        <w:t xml:space="preserve">autorización o una obligación aplicable.</w:t>
      </w:r>
      <w:r/>
      <w:r/>
      <w:r/>
    </w:p>
    <w:p w14:paraId="70BFF2EA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Información sobre intrusos: información relacionada con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personas o entidades que realicen actividades no autorizadas.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No se divulgará al público salvo cuando corresponda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legalmente, aunque podrá compartirse con administradores y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CSIRT que participen en el seguimiento de un incidente cuando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resulte necesario.</w:t>
      </w:r>
      <w:r/>
      <w:r/>
      <w:r/>
    </w:p>
    <w:p w14:paraId="4496A352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- Información privada de sitios: información técnica sobre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sistemas, redes o sitios concretos. No se divulgará sin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autorización de la parte correspondiente, salvo cuando exista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una obligación aplicable.</w:t>
      </w:r>
      <w:r/>
      <w:r/>
    </w:p>
    <w:p w14:paraId="6AB358BD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Información sobre vulnerabilidades: información técnica acerca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de vulnerabilidades, ataques, correcciones y medidas de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mitigación. Cuando resulte apropiado, se procurará informar al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proveedor afectado antes de una divulgación general.</w:t>
      </w:r>
      <w:r/>
      <w:r/>
      <w:r/>
    </w:p>
    <w:p w14:paraId="7A6AE0A8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Información sensible sobre incidentes: información que revele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que un incidente ocurrió, así como su extensión o gravedad. No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se divulgará sin autorización de las partes afectadas, salvo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cuando exista una obligación aplicable.</w:t>
      </w:r>
      <w:r/>
      <w:r/>
    </w:p>
    <w:p w14:paraId="7742A2C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Información estadística: información sobre incidentes de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cual se hayan eliminado los elementos que permitan identificar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a las partes afectadas.</w:t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szCs w:val="20"/>
          <w:highlight w:val="none"/>
        </w:rPr>
      </w:r>
      <w:r>
        <w:rPr>
          <w:rFonts w:ascii="Courier" w:hAnsi="Courier" w:cs="Courier"/>
          <w:sz w:val="20"/>
        </w:rPr>
        <w:t xml:space="preserve">Su publicación quedará sujeta a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aprobación de TXDXSecure.</w:t>
      </w:r>
      <w:r/>
      <w:r/>
      <w:r>
        <w:rPr>
          <w:rFonts w:ascii="Courier" w:hAnsi="Courier" w:cs="Courier"/>
          <w:sz w:val="20"/>
          <w:szCs w:val="20"/>
          <w:highlight w:val="none"/>
        </w:rPr>
      </w:r>
    </w:p>
    <w:p w14:paraId="0E99B334"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- Información de contacto: información necesaria para contactar</w:t>
      </w:r>
      <w:r/>
      <w:r>
        <w:rPr>
          <w:rFonts w:ascii="Courier" w:hAnsi="Courier" w:cs="Courier"/>
          <w:sz w:val="20"/>
        </w:rPr>
        <w:t xml:space="preserve">a administradores, responsables de seguridad, otros CSIRT u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organizaciones involucradas. Se compartirá cuando resulte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apropiado para la gestión del incidente, salvo que existan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restricciones aplicables.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Los posibles receptores de información de TXDX-CSIRT se tratarán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de la siguiente manera:</w:t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La dirección y las áreas autorizadas de TXDXSecure recibirán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la información que resulte necesaria para facilitar la gestión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de incidentes dentro de sus responsabilidades.</w:t>
      </w:r>
      <w:r/>
      <w:r/>
    </w:p>
    <w:p w14:paraId="0DC4DFB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Los administradores de sistemas y responsables técnicos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recibirán únicamente la información confidencial que necesiten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para colaborar en una investigación o para proteger los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sistemas bajo su responsabilidad.</w:t>
      </w:r>
      <w:r/>
      <w:r/>
    </w:p>
    <w:p w14:paraId="4ACD192A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- Los integrantes de la comunidad atendida recibirán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información que resulte necesaria para comprender y mitigar</w:t>
      </w:r>
      <w:r>
        <w:rPr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los efectos de incidentes que afecten a sus propios sistemas,</w:t>
      </w:r>
      <w:r/>
      <w:r/>
      <w:r>
        <w:rPr>
          <w:rFonts w:ascii="Courier" w:hAnsi="Courier" w:cs="Courier"/>
          <w:sz w:val="20"/>
        </w:rPr>
        <w:t xml:space="preserve">cuentas o servicios.</w:t>
      </w:r>
      <w:r/>
      <w:r/>
    </w:p>
    <w:p w14:paraId="1C00DF32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  <w:lang w:val="es-ES"/>
        </w:rPr>
      </w:pPr>
      <w:r>
        <w:rPr>
          <w:rFonts w:ascii="Courier" w:hAnsi="Courier" w:cs="Courier"/>
          <w:sz w:val="20"/>
        </w:rPr>
        <w:t xml:space="preserve">- El público general no recibirá información restringida. La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>
        <w:rPr>
          <w:rFonts w:ascii="Courier" w:hAnsi="Courier" w:cs="Courier"/>
          <w:sz w:val="20"/>
        </w:rPr>
        <w:t xml:space="preserve">información que se publique será preparada teniendo en cuenta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que podrá ser accesible públicamente.</w:t>
      </w:r>
      <w:r>
        <w:rPr>
          <w:lang w:val="es-ES"/>
        </w:rPr>
      </w:r>
      <w:r/>
    </w:p>
    <w:p w14:paraId="7A52846B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- La comunidad de seguridad informática será tratada como el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público general salvo cuando exista una relación de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cooperación específica. Los detalles técnicos podrán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compartirse cuando sea apropiado, evitando identificar 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partes afectadas sin autorización.</w:t>
      </w:r>
      <w:r/>
    </w:p>
    <w:p w14:paraId="6E0EAAAA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- Las consultas de prensa relacionadas con incidentes se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highlight w:val="none"/>
        </w:rPr>
      </w:pPr>
      <w:r>
        <w:rPr>
          <w:rFonts w:ascii="Courier" w:hAnsi="Courier" w:cs="Courier"/>
          <w:sz w:val="20"/>
        </w:rPr>
        <w:t xml:space="preserve">remitirán a los canales autorizados por TXDXSecure.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TXDX-CSIRT</w:t>
      </w:r>
      <w:r>
        <w:rPr>
          <w:rFonts w:ascii="Courier" w:hAnsi="Courier" w:cs="Courier"/>
          <w:sz w:val="20"/>
          <w:lang w:val="es-ES"/>
        </w:rPr>
        <w:t xml:space="preserve"> </w:t>
      </w:r>
      <w:r/>
      <w:r/>
      <w:r>
        <w:rPr>
          <w:rFonts w:ascii="Courier" w:hAnsi="Courier" w:cs="Courier"/>
          <w:sz w:val="20"/>
        </w:rPr>
        <w:t xml:space="preserve">no divulgará información restringida a la prensa.</w:t>
      </w:r>
      <w:r/>
      <w:r/>
      <w:r>
        <w:rPr>
          <w:rFonts w:ascii="Courier" w:hAnsi="Courier" w:cs="Courier"/>
          <w:sz w:val="20"/>
          <w:szCs w:val="20"/>
        </w:rPr>
      </w:r>
    </w:p>
    <w:p w14:paraId="43F0896A"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- Otros sitios y CSIRT que participen en la investigación de un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incidente podrán recibir información confidencial cuando su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identidad pueda verificarse y la información sea necesaria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para resolver el incidente.</w:t>
      </w:r>
      <w:r/>
    </w:p>
    <w:p w14:paraId="4692C970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- Los proveedores podrán recibir los detalles técnicos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necesarios para identificar y corregir vulnerabilidades de sus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productos o servicios. Los datos identificativos de las partes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afectadas no se facilitarán sin autorización, salvo obligación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aplicable.</w:t>
      </w:r>
      <w:r/>
    </w:p>
    <w:p w14:paraId="03B8576C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- Las autoridades competentes recibirán la cooperación que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corresponda conforme a la legislación aplicable y a las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autorizaciones de TXDXSecure o de la organización afectada.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4.3 Comunicación y autenticación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6A0B0C5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utilizará los canales de comunicación indicados en la sección 2 de este documento.</w:t>
      </w:r>
      <w:r>
        <w:rPr>
          <w:rFonts w:ascii="Courier" w:hAnsi="Courier" w:cs="Courier"/>
          <w:sz w:val="20"/>
        </w:rPr>
      </w:r>
    </w:p>
    <w:p w14:paraId="3EAF90C4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4823F939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Los canales no cifrados se utilizarán únicamente cuando la sensibilidad de la información lo permita. Para el intercambio de información sensible por correo electrónico, TXDX-CSIRT podrá utilizar PGP mediante la clave indicada en la sección 2.8.</w:t>
      </w:r>
      <w:r>
        <w:rPr>
          <w:rFonts w:ascii="Courier" w:hAnsi="Courier" w:cs="Courier"/>
          <w:sz w:val="20"/>
        </w:rPr>
      </w:r>
    </w:p>
    <w:p w14:paraId="3E038D91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Cuando sea necesario establecer confianza antes de divulgar información confidencial, TXDX-CSIRT verificará razonablemente la identidad de la otra parte mediante contactos conocidos, directorios oficiales de CSIRT, llamadas de retorno, confirmaciones por ca</w:t>
      </w:r>
      <w:r>
        <w:rPr>
          <w:rFonts w:ascii="Courier" w:hAnsi="Courier" w:cs="Courier"/>
          <w:sz w:val="20"/>
        </w:rPr>
        <w:t xml:space="preserve">nales previamente establecidos o firmas digitales.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5. Servicios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5.1 Respuesta a incidentes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TXDX-CSIRT asistirá a los integrantes de su comunidad atendida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en los aspectos técnicos y organizativos de los incidentes,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dentro del alcance de sus responsabilidades y recursos. En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particular, proporcionará asistencia o asesoramiento sobre los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siguientes aspectos de la gestión de incidentes: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5.1.1 Triage de incidentes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Investigar si efectivamente ocurrió un incidente.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Determinar el alcance del incidente.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5.1.2 Coordinación de incidentes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Determinar la causa inicial del incidente, incluida la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vulnerabilidad explotada cuando pueda identificarse.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Facilitar el contacto con otros sitios u organizaciones que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puedan estar involucrados.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Facilitar el contacto con las áreas de seguridad de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TXDXSecure, la organización afectada o las autoridades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competentes, cuando sea necesario y esté autorizado.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Realizar comunicaciones a otros CSIRT cuando corresponda.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Preparar comunicaciones para los usuarios o partes afectadas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cuando resulte aplicable.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5.1.3 Resolución de incidentes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Eliminar o mitigar la vulnerabilidad o causa que permitió el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incidente cuando ello se encuentre dentro del alcance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autorizado.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Proteger los sistemas frente a los efectos del incidente y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apoyar la recuperación de los servicios afectados.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Evaluar la conveniencia de acciones adicionales, incluida la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recopilación de evidencias, cuando puedan existir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procedimientos legales, contractuales o disciplinarios.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- Recopilar y preservar evidencias cuando resulte necesario y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       exista autorización para hacerlo.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mantendrá registros de los incidentes gestionados y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podrá elaborar estadísticas sobre incidentes que afecten o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involucren a su comunidad atendida, respetando las restricciones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de confidencialidad aplicables.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387109A8"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  <w:highlight w:val="none"/>
        </w:rPr>
      </w:pPr>
      <w:r>
        <w:rPr>
          <w:rFonts w:ascii="Courier" w:hAnsi="Courier" w:cs="Courier"/>
          <w:sz w:val="20"/>
        </w:rPr>
        <w:t xml:space="preserve">Para solicitar los servicios de respuesta a incidentes de TXDX-CSIRT,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deberán utilizarse los puntos de contacto indicados en la sección 2.11.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2AF3A625">
      <w:pPr>
        <w:keepNext w:val="false"/>
        <w:keepLines w:val="false"/>
        <w:widowControl w:val="false"/>
        <w:pBdr/>
        <w:spacing w:after="0" w:before="0" w:line="220" w:lineRule="exact"/>
        <w:ind w:left="709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  <w:r>
        <w:rPr>
          <w:rFonts w:ascii="Courier" w:hAnsi="Courier" w:cs="Courier"/>
          <w:sz w:val="20"/>
          <w:highlight w:val="none"/>
        </w:rPr>
      </w:r>
    </w:p>
    <w:p w14:paraId="51739F29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El nivel de asistencia disponible dependerá de los parámetros descritos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en la sección 4.1 y del alcance aplicable a cada caso.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5.2 Actividades proactivas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0DB80295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TXDX-CSIRT coordina y mantiene los siguientes servicios, en la medida</w:t>
      </w:r>
      <w:r>
        <w:rPr>
          <w:rFonts w:ascii="Courier" w:hAnsi="Courier" w:cs="Courier"/>
          <w:sz w:val="20"/>
        </w:rPr>
      </w:r>
    </w:p>
    <w:p w14:paraId="5435CB34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de lo posible dependiendo de sus recursos:</w:t>
      </w:r>
      <w:r>
        <w:rPr>
          <w:rFonts w:ascii="Courier" w:hAnsi="Courier" w:cs="Courier"/>
          <w:sz w:val="20"/>
        </w:rPr>
      </w:r>
    </w:p>
    <w:p w14:paraId="5C8E0B0A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73E74BF6">
      <w:pPr>
        <w:pStyle w:val="735"/>
        <w:keepNext w:val="false"/>
        <w:keepLines w:val="false"/>
        <w:widowControl w:val="false"/>
        <w:numPr>
          <w:ilvl w:val="1"/>
          <w:numId w:val="10"/>
        </w:numPr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Servicios de información relacionados con seguridad.</w:t>
      </w:r>
      <w:r>
        <w:rPr>
          <w:rFonts w:ascii="Courier" w:hAnsi="Courier" w:cs="Courier"/>
          <w:sz w:val="20"/>
        </w:rPr>
      </w:r>
    </w:p>
    <w:p w14:paraId="6264DCD8">
      <w:pPr>
        <w:pStyle w:val="735"/>
        <w:keepNext w:val="false"/>
        <w:keepLines w:val="false"/>
        <w:widowControl w:val="false"/>
        <w:numPr>
          <w:ilvl w:val="1"/>
          <w:numId w:val="10"/>
        </w:numPr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Difusión de información sobre actualizaciones, parches,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vulnerabilidades y medidas de mitigación proporcionadas por</w:t>
      </w:r>
      <w:r>
        <w:rPr>
          <w:rFonts w:ascii="Courier" w:hAnsi="Courier" w:cs="Courier"/>
          <w:sz w:val="20"/>
          <w:lang w:val="es-ES"/>
        </w:rPr>
        <w:t xml:space="preserve"> 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fabricantes u otras fuentes pertinentes.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13E684F8">
      <w:pPr>
        <w:pStyle w:val="735"/>
        <w:keepNext w:val="false"/>
        <w:keepLines w:val="false"/>
        <w:widowControl w:val="false"/>
        <w:numPr>
          <w:ilvl w:val="1"/>
          <w:numId w:val="10"/>
        </w:numPr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Servicios de capacitación en materias relacionadas con seguridad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informática y respuesta a incidentes.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356682C7">
      <w:pPr>
        <w:pStyle w:val="735"/>
        <w:keepNext w:val="false"/>
        <w:keepLines w:val="false"/>
        <w:widowControl w:val="false"/>
        <w:numPr>
          <w:ilvl w:val="1"/>
          <w:numId w:val="10"/>
        </w:numPr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Servicios de auditoría y evaluación de seguridad cuando estos formen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parte del alcance aplicable a la organización atendida.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35CF804E">
      <w:pPr>
        <w:pStyle w:val="735"/>
        <w:keepNext w:val="false"/>
        <w:keepLines w:val="false"/>
        <w:widowControl w:val="false"/>
        <w:numPr>
          <w:ilvl w:val="1"/>
          <w:numId w:val="10"/>
        </w:numPr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Servicios de monitoreo y registro de eventos de seguridad cuando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estos formen parte del alcance aplicable.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778FD230">
      <w:pPr>
        <w:pStyle w:val="735"/>
        <w:keepNext w:val="false"/>
        <w:keepLines w:val="false"/>
        <w:widowControl w:val="false"/>
        <w:numPr>
          <w:ilvl w:val="1"/>
          <w:numId w:val="10"/>
        </w:numPr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Conservación de registros de los incidentes gestionados por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TXDX-CSIRT. Estos registros serán tratados de acuerdo con las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  <w:t xml:space="preserve">políticas de confidencialidad aplicables.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4C951EA2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04ADBEE1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Las descripciones detalladas de estos servicios y las condiciones para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acceder a ellos estarán disponibles a través de los canales oficiales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de TXDX-CSIRT o serán establecidas con la organización atendida según</w:t>
      </w:r>
      <w:r>
        <w:rPr>
          <w:rFonts w:ascii="Courier" w:hAnsi="Courier" w:cs="Courier"/>
          <w:sz w:val="20"/>
          <w:lang w:val="es-ES"/>
        </w:rPr>
        <w:t xml:space="preserve"> 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corresponda.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6. Formularios de reporte de incidentes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41FA9DC7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  <w:t xml:space="preserve">TXDX-CSIRT dispone de un formulario para el reporte de incidentes de</w:t>
      </w:r>
      <w:r>
        <w:rPr>
          <w:rFonts w:ascii="Courier" w:hAnsi="Courier" w:cs="Courier"/>
          <w:sz w:val="20"/>
        </w:rPr>
      </w:r>
    </w:p>
    <w:p w14:paraId="08C8D94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seguridad, disponible en:</w:t>
      </w:r>
      <w:r>
        <w:rPr>
          <w:rFonts w:ascii="Courier" w:hAnsi="Courier" w:cs="Courier"/>
          <w:sz w:val="20"/>
        </w:rPr>
      </w:r>
    </w:p>
    <w:p w14:paraId="2A793BC6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5CA510FC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https://csirt.txdxsecure.com/reportes</w:t>
      </w:r>
      <w:r>
        <w:rPr>
          <w:rFonts w:ascii="Courier" w:hAnsi="Courier" w:cs="Courier"/>
          <w:sz w:val="20"/>
        </w:rPr>
      </w:r>
    </w:p>
    <w:p w14:paraId="52491A49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2167F25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El formulario deberá utilizarse para proporcionar la información</w:t>
      </w:r>
      <w:r>
        <w:rPr>
          <w:rFonts w:ascii="Courier" w:hAnsi="Courier" w:cs="Courier"/>
          <w:sz w:val="20"/>
        </w:rPr>
      </w:r>
    </w:p>
    <w:p w14:paraId="72D9B803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necesaria para la evaluación inicial, clasificación y atención del</w:t>
      </w:r>
      <w:r>
        <w:rPr>
          <w:rFonts w:ascii="Courier" w:hAnsi="Courier" w:cs="Courier"/>
          <w:sz w:val="20"/>
        </w:rPr>
      </w:r>
    </w:p>
    <w:p w14:paraId="72DF2542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incidente.</w:t>
      </w:r>
      <w:r>
        <w:rPr>
          <w:rFonts w:ascii="Courier" w:hAnsi="Courier" w:cs="Courier"/>
          <w:sz w:val="20"/>
        </w:rPr>
      </w:r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  <w:t xml:space="preserve">   7. Descargos de responsabilidad</w:t>
      </w:r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p w14:paraId="42382072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Este documento describe el mandato, las políticas, los servicios y los procedimientos generales de TXDX-CSIRT y no constituye por sí mismo un contrato ni crea obligaciones adicionales a las establecidas mediante acuerdos, contratos o disposiciones aplicable</w:t>
      </w:r>
      <w:r>
        <w:rPr>
          <w:rFonts w:ascii="Courier" w:hAnsi="Courier" w:cs="Courier"/>
          <w:sz w:val="20"/>
        </w:rPr>
        <w:t xml:space="preserve">s.</w:t>
      </w:r>
      <w:r>
        <w:rPr>
          <w:rFonts w:ascii="Courier" w:hAnsi="Courier" w:cs="Courier"/>
          <w:sz w:val="20"/>
        </w:rPr>
      </w:r>
    </w:p>
    <w:p w14:paraId="6436B2FF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</w:p>
    <w:p w14:paraId="1D4DA56C">
      <w:pPr>
        <w:keepNext w:val="false"/>
        <w:keepLines w:val="false"/>
        <w:widowControl w:val="false"/>
        <w:pBdr/>
        <w:spacing w:after="0" w:before="0" w:line="220" w:lineRule="exact"/>
        <w:ind w:left="709"/>
        <w:rPr/>
      </w:pPr>
      <w:r>
        <w:rPr>
          <w:rFonts w:ascii="Courier" w:hAnsi="Courier" w:cs="Courier"/>
          <w:sz w:val="20"/>
        </w:rPr>
        <w:t xml:space="preserve">La prestación de los servicios de TXDX-CSIRT estará sujeta al alcance, condiciones, autorizaciones y limitaciones aplicables en cada caso.</w:t>
      </w:r>
      <w:r>
        <w:rPr>
          <w:rFonts w:ascii="Courier" w:hAnsi="Courier" w:cs="Courier"/>
          <w:sz w:val="20"/>
        </w:rPr>
      </w:r>
      <w:r>
        <w:rPr>
          <w:rFonts w:ascii="Courier" w:hAnsi="Courier" w:cs="Courier"/>
          <w:sz w:val="20"/>
        </w:rPr>
      </w:r>
      <w:r/>
      <w:r/>
    </w:p>
    <w:p>
      <w:pPr>
        <w:keepNext w:val="false"/>
        <w:keepLines w:val="false"/>
        <w:widowControl w:val="false"/>
        <w:pBdr/>
        <w:spacing w:after="0" w:before="0" w:line="220" w:lineRule="exact"/>
        <w:ind/>
        <w:rPr/>
      </w:pPr>
      <w:r>
        <w:rPr>
          <w:rFonts w:ascii="Courier" w:hAnsi="Courier" w:cs="Courier"/>
          <w:sz w:val="20"/>
        </w:rPr>
      </w:r>
      <w:r/>
    </w:p>
    <w:sectPr>
      <w:headerReference w:type="default" r:id="rId9"/>
      <w:footerReference w:type="default" r:id="rId10"/>
      <w:footnotePr/>
      <w:endnotePr/>
      <w:type w:val="nextPage"/>
      <w:pgSz w:h="15840" w:orient="portrait" w:w="12240"/>
      <w:pgMar w:top="1360" w:right="2000" w:bottom="3760" w:left="1600" w:header="720" w:footer="288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3"/>
      <w:pBdr/>
      <w:spacing w:after="0" w:before="0" w:line="220" w:lineRule="exact"/>
      <w:ind/>
      <w:jc w:val="left"/>
      <w:rPr/>
    </w:pPr>
    <w:r>
      <w:rPr>
        <w:rFonts w:ascii="Courier" w:hAnsi="Courier"/>
        <w:sz w:val="20"/>
      </w:rPr>
      <w:t xml:space="preserve">TXDXSecure             Perfil RFC 2350 / BCP 21              [Página </w:t>
    </w:r>
    <w:r>
      <w:rPr>
        <w:rFonts w:ascii="Courier" w:hAnsi="Courier"/>
        <w:sz w:val="20"/>
      </w:rPr>
      <w:fldChar w:fldCharType="begin"/>
      <w:instrText xml:space="preserve"> PAGE </w:instrText>
      <w:fldChar w:fldCharType="end"/>
    </w:r>
    <w:r>
      <w:rPr>
        <w:rFonts w:ascii="Courier" w:hAnsi="Courier"/>
        <w:sz w:val="20"/>
      </w:rPr>
      <w:t xml:space="preserve">]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1"/>
      <w:pBdr/>
      <w:spacing w:after="0" w:before="0" w:line="220" w:lineRule="exact"/>
      <w:ind/>
      <w:jc w:val="left"/>
      <w:rPr/>
    </w:pPr>
    <w:r>
      <w:rPr>
        <w:rFonts w:ascii="Courier" w:hAnsi="Courier"/>
        <w:sz w:val="2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50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49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47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46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4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4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9">
    <w:nsid w:val="6585E199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1">
    <w:name w:val="footnote text"/>
    <w:basedOn w:val="71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2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2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0"/>
    <w:next w:val="710"/>
    <w:uiPriority w:val="39"/>
    <w:unhideWhenUsed/>
    <w:pPr>
      <w:pBdr/>
      <w:spacing w:after="100"/>
      <w:ind/>
    </w:pPr>
  </w:style>
  <w:style w:type="paragraph" w:styleId="190">
    <w:name w:val="toc 2"/>
    <w:basedOn w:val="710"/>
    <w:next w:val="710"/>
    <w:uiPriority w:val="39"/>
    <w:unhideWhenUsed/>
    <w:pPr>
      <w:pBdr/>
      <w:spacing w:after="100"/>
      <w:ind w:left="220"/>
    </w:pPr>
  </w:style>
  <w:style w:type="paragraph" w:styleId="191">
    <w:name w:val="toc 3"/>
    <w:basedOn w:val="710"/>
    <w:next w:val="710"/>
    <w:uiPriority w:val="39"/>
    <w:unhideWhenUsed/>
    <w:pPr>
      <w:pBdr/>
      <w:spacing w:after="100"/>
      <w:ind w:left="440"/>
    </w:pPr>
  </w:style>
  <w:style w:type="paragraph" w:styleId="192">
    <w:name w:val="toc 4"/>
    <w:basedOn w:val="710"/>
    <w:next w:val="710"/>
    <w:uiPriority w:val="39"/>
    <w:unhideWhenUsed/>
    <w:pPr>
      <w:pBdr/>
      <w:spacing w:after="100"/>
      <w:ind w:left="660"/>
    </w:pPr>
  </w:style>
  <w:style w:type="paragraph" w:styleId="193">
    <w:name w:val="toc 5"/>
    <w:basedOn w:val="710"/>
    <w:next w:val="710"/>
    <w:uiPriority w:val="39"/>
    <w:unhideWhenUsed/>
    <w:pPr>
      <w:pBdr/>
      <w:spacing w:after="100"/>
      <w:ind w:left="880"/>
    </w:pPr>
  </w:style>
  <w:style w:type="paragraph" w:styleId="194">
    <w:name w:val="toc 6"/>
    <w:basedOn w:val="710"/>
    <w:next w:val="710"/>
    <w:uiPriority w:val="39"/>
    <w:unhideWhenUsed/>
    <w:pPr>
      <w:pBdr/>
      <w:spacing w:after="100"/>
      <w:ind w:left="1100"/>
    </w:pPr>
  </w:style>
  <w:style w:type="paragraph" w:styleId="195">
    <w:name w:val="toc 7"/>
    <w:basedOn w:val="710"/>
    <w:next w:val="710"/>
    <w:uiPriority w:val="39"/>
    <w:unhideWhenUsed/>
    <w:pPr>
      <w:pBdr/>
      <w:spacing w:after="100"/>
      <w:ind w:left="1320"/>
    </w:pPr>
  </w:style>
  <w:style w:type="paragraph" w:styleId="196">
    <w:name w:val="toc 8"/>
    <w:basedOn w:val="710"/>
    <w:next w:val="710"/>
    <w:uiPriority w:val="39"/>
    <w:unhideWhenUsed/>
    <w:pPr>
      <w:pBdr/>
      <w:spacing w:after="100"/>
      <w:ind w:left="1540"/>
    </w:pPr>
  </w:style>
  <w:style w:type="paragraph" w:styleId="197">
    <w:name w:val="toc 9"/>
    <w:basedOn w:val="710"/>
    <w:next w:val="71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4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710"/>
    <w:next w:val="710"/>
    <w:uiPriority w:val="99"/>
    <w:unhideWhenUsed/>
    <w:pPr>
      <w:pBdr/>
      <w:spacing w:after="0" w:afterAutospacing="0"/>
      <w:ind/>
    </w:pPr>
  </w:style>
  <w:style w:type="paragraph" w:styleId="710" w:default="1">
    <w:name w:val="Normal"/>
    <w:qFormat/>
    <w:pPr>
      <w:pBdr/>
      <w:spacing/>
      <w:ind/>
    </w:pPr>
    <w:rPr>
      <w:rFonts w:ascii="Courier" w:hAnsi="Courier" w:eastAsia="Courier" w:cs="Courier"/>
      <w:sz w:val="20"/>
      <w:lang w:val="es-PE" w:eastAsia="es-PE"/>
    </w:rPr>
  </w:style>
  <w:style w:type="paragraph" w:styleId="711">
    <w:name w:val="Header"/>
    <w:basedOn w:val="710"/>
    <w:link w:val="71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12" w:customStyle="1">
    <w:name w:val="Header Char"/>
    <w:basedOn w:val="724"/>
    <w:link w:val="711"/>
    <w:uiPriority w:val="99"/>
    <w:pPr>
      <w:pBdr/>
      <w:spacing/>
      <w:ind/>
    </w:pPr>
  </w:style>
  <w:style w:type="paragraph" w:styleId="713">
    <w:name w:val="Footer"/>
    <w:basedOn w:val="710"/>
    <w:link w:val="71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14" w:customStyle="1">
    <w:name w:val="Footer Char"/>
    <w:basedOn w:val="724"/>
    <w:link w:val="713"/>
    <w:uiPriority w:val="99"/>
    <w:pPr>
      <w:pBdr/>
      <w:spacing/>
      <w:ind/>
    </w:pPr>
  </w:style>
  <w:style w:type="paragraph" w:styleId="715">
    <w:name w:val="Heading 1"/>
    <w:basedOn w:val="710"/>
    <w:next w:val="710"/>
    <w:link w:val="728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16">
    <w:name w:val="Heading 2"/>
    <w:basedOn w:val="710"/>
    <w:next w:val="710"/>
    <w:link w:val="729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17">
    <w:name w:val="Heading 3"/>
    <w:basedOn w:val="710"/>
    <w:next w:val="710"/>
    <w:link w:val="730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18">
    <w:name w:val="Heading 4"/>
    <w:basedOn w:val="710"/>
    <w:next w:val="710"/>
    <w:link w:val="758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19">
    <w:name w:val="Heading 5"/>
    <w:basedOn w:val="710"/>
    <w:next w:val="710"/>
    <w:link w:val="759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20">
    <w:name w:val="Heading 6"/>
    <w:basedOn w:val="710"/>
    <w:next w:val="710"/>
    <w:link w:val="760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21">
    <w:name w:val="Heading 7"/>
    <w:basedOn w:val="710"/>
    <w:next w:val="710"/>
    <w:link w:val="761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22">
    <w:name w:val="Heading 8"/>
    <w:basedOn w:val="710"/>
    <w:next w:val="710"/>
    <w:link w:val="762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23">
    <w:name w:val="Heading 9"/>
    <w:basedOn w:val="710"/>
    <w:next w:val="710"/>
    <w:link w:val="763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24" w:default="1">
    <w:name w:val="Default Paragraph Font"/>
    <w:uiPriority w:val="1"/>
    <w:semiHidden/>
    <w:unhideWhenUsed/>
    <w:pPr>
      <w:pBdr/>
      <w:spacing/>
      <w:ind/>
    </w:pPr>
  </w:style>
  <w:style w:type="table" w:styleId="72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6" w:default="1">
    <w:name w:val="No List"/>
    <w:uiPriority w:val="99"/>
    <w:semiHidden/>
    <w:unhideWhenUsed/>
    <w:pPr>
      <w:pBdr/>
      <w:spacing/>
      <w:ind/>
    </w:pPr>
  </w:style>
  <w:style w:type="paragraph" w:styleId="727">
    <w:name w:val="No Spacing"/>
    <w:uiPriority w:val="1"/>
    <w:qFormat/>
    <w:pPr>
      <w:pBdr/>
      <w:spacing w:after="0" w:line="240" w:lineRule="auto"/>
      <w:ind/>
    </w:pPr>
  </w:style>
  <w:style w:type="character" w:styleId="728" w:customStyle="1">
    <w:name w:val="Heading 1 Char"/>
    <w:basedOn w:val="724"/>
    <w:link w:val="71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29" w:customStyle="1">
    <w:name w:val="Heading 2 Char"/>
    <w:basedOn w:val="724"/>
    <w:link w:val="71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30" w:customStyle="1">
    <w:name w:val="Heading 3 Char"/>
    <w:basedOn w:val="724"/>
    <w:link w:val="71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31">
    <w:name w:val="Title"/>
    <w:basedOn w:val="710"/>
    <w:next w:val="710"/>
    <w:link w:val="732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32" w:customStyle="1">
    <w:name w:val="Title Char"/>
    <w:basedOn w:val="724"/>
    <w:link w:val="731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33">
    <w:name w:val="Subtitle"/>
    <w:basedOn w:val="710"/>
    <w:next w:val="710"/>
    <w:link w:val="734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34" w:customStyle="1">
    <w:name w:val="Subtitle Char"/>
    <w:basedOn w:val="724"/>
    <w:link w:val="733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35">
    <w:name w:val="List Paragraph"/>
    <w:basedOn w:val="710"/>
    <w:uiPriority w:val="34"/>
    <w:qFormat/>
    <w:pPr>
      <w:pBdr/>
      <w:spacing/>
      <w:ind w:left="720"/>
      <w:contextualSpacing w:val="true"/>
    </w:pPr>
  </w:style>
  <w:style w:type="paragraph" w:styleId="736">
    <w:name w:val="Body Text"/>
    <w:basedOn w:val="710"/>
    <w:link w:val="737"/>
    <w:uiPriority w:val="99"/>
    <w:unhideWhenUsed/>
    <w:pPr>
      <w:pBdr/>
      <w:spacing w:after="120"/>
      <w:ind/>
    </w:pPr>
  </w:style>
  <w:style w:type="character" w:styleId="737" w:customStyle="1">
    <w:name w:val="Body Text Char"/>
    <w:basedOn w:val="724"/>
    <w:link w:val="736"/>
    <w:uiPriority w:val="99"/>
    <w:pPr>
      <w:pBdr/>
      <w:spacing/>
      <w:ind/>
    </w:pPr>
  </w:style>
  <w:style w:type="paragraph" w:styleId="738">
    <w:name w:val="Body Text 2"/>
    <w:basedOn w:val="710"/>
    <w:link w:val="739"/>
    <w:uiPriority w:val="99"/>
    <w:unhideWhenUsed/>
    <w:pPr>
      <w:pBdr/>
      <w:spacing w:after="120" w:line="480" w:lineRule="auto"/>
      <w:ind/>
    </w:pPr>
  </w:style>
  <w:style w:type="character" w:styleId="739" w:customStyle="1">
    <w:name w:val="Body Text 2 Char"/>
    <w:basedOn w:val="724"/>
    <w:link w:val="738"/>
    <w:uiPriority w:val="99"/>
    <w:pPr>
      <w:pBdr/>
      <w:spacing/>
      <w:ind/>
    </w:pPr>
  </w:style>
  <w:style w:type="paragraph" w:styleId="740">
    <w:name w:val="Body Text 3"/>
    <w:basedOn w:val="710"/>
    <w:link w:val="741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41" w:customStyle="1">
    <w:name w:val="Body Text 3 Char"/>
    <w:basedOn w:val="724"/>
    <w:link w:val="740"/>
    <w:uiPriority w:val="99"/>
    <w:pPr>
      <w:pBdr/>
      <w:spacing/>
      <w:ind/>
    </w:pPr>
    <w:rPr>
      <w:sz w:val="16"/>
      <w:szCs w:val="16"/>
    </w:rPr>
  </w:style>
  <w:style w:type="paragraph" w:styleId="742">
    <w:name w:val="List"/>
    <w:basedOn w:val="710"/>
    <w:uiPriority w:val="99"/>
    <w:unhideWhenUsed/>
    <w:pPr>
      <w:pBdr/>
      <w:spacing/>
      <w:ind w:hanging="360" w:left="360"/>
      <w:contextualSpacing w:val="true"/>
    </w:pPr>
  </w:style>
  <w:style w:type="paragraph" w:styleId="743">
    <w:name w:val="List 2"/>
    <w:basedOn w:val="710"/>
    <w:uiPriority w:val="99"/>
    <w:unhideWhenUsed/>
    <w:pPr>
      <w:pBdr/>
      <w:spacing/>
      <w:ind w:hanging="360" w:left="720"/>
      <w:contextualSpacing w:val="true"/>
    </w:pPr>
  </w:style>
  <w:style w:type="paragraph" w:styleId="744">
    <w:name w:val="List 3"/>
    <w:basedOn w:val="710"/>
    <w:uiPriority w:val="99"/>
    <w:unhideWhenUsed/>
    <w:pPr>
      <w:pBdr/>
      <w:spacing/>
      <w:ind w:hanging="360" w:left="1080"/>
      <w:contextualSpacing w:val="true"/>
    </w:pPr>
  </w:style>
  <w:style w:type="paragraph" w:styleId="745">
    <w:name w:val="List Bullet"/>
    <w:basedOn w:val="710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46">
    <w:name w:val="List Bullet 2"/>
    <w:basedOn w:val="710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47">
    <w:name w:val="List Bullet 3"/>
    <w:basedOn w:val="710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48">
    <w:name w:val="List Number"/>
    <w:basedOn w:val="710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49">
    <w:name w:val="List Number 2"/>
    <w:basedOn w:val="710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50">
    <w:name w:val="List Number 3"/>
    <w:basedOn w:val="710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51">
    <w:name w:val="List Continue"/>
    <w:basedOn w:val="710"/>
    <w:uiPriority w:val="99"/>
    <w:unhideWhenUsed/>
    <w:pPr>
      <w:pBdr/>
      <w:spacing w:after="120"/>
      <w:ind w:left="360"/>
      <w:contextualSpacing w:val="true"/>
    </w:pPr>
  </w:style>
  <w:style w:type="paragraph" w:styleId="752">
    <w:name w:val="List Continue 2"/>
    <w:basedOn w:val="710"/>
    <w:uiPriority w:val="99"/>
    <w:unhideWhenUsed/>
    <w:pPr>
      <w:pBdr/>
      <w:spacing w:after="120"/>
      <w:ind w:left="720"/>
      <w:contextualSpacing w:val="true"/>
    </w:pPr>
  </w:style>
  <w:style w:type="paragraph" w:styleId="753">
    <w:name w:val="List Continue 3"/>
    <w:basedOn w:val="710"/>
    <w:uiPriority w:val="99"/>
    <w:unhideWhenUsed/>
    <w:pPr>
      <w:pBdr/>
      <w:spacing w:after="120"/>
      <w:ind w:left="1080"/>
      <w:contextualSpacing w:val="true"/>
    </w:pPr>
  </w:style>
  <w:style w:type="paragraph" w:styleId="754">
    <w:name w:val="macro"/>
    <w:link w:val="755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55" w:customStyle="1">
    <w:name w:val="Macro Text Char"/>
    <w:basedOn w:val="724"/>
    <w:link w:val="754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56">
    <w:name w:val="Quote"/>
    <w:basedOn w:val="710"/>
    <w:next w:val="710"/>
    <w:link w:val="757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57" w:customStyle="1">
    <w:name w:val="Quote Char"/>
    <w:basedOn w:val="724"/>
    <w:link w:val="756"/>
    <w:uiPriority w:val="29"/>
    <w:pPr>
      <w:pBdr/>
      <w:spacing/>
      <w:ind/>
    </w:pPr>
    <w:rPr>
      <w:i/>
      <w:iCs/>
      <w:color w:val="000000" w:themeColor="text1"/>
    </w:rPr>
  </w:style>
  <w:style w:type="character" w:styleId="758" w:customStyle="1">
    <w:name w:val="Heading 4 Char"/>
    <w:basedOn w:val="724"/>
    <w:link w:val="718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59" w:customStyle="1">
    <w:name w:val="Heading 5 Char"/>
    <w:basedOn w:val="724"/>
    <w:link w:val="71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60" w:customStyle="1">
    <w:name w:val="Heading 6 Char"/>
    <w:basedOn w:val="724"/>
    <w:link w:val="72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61" w:customStyle="1">
    <w:name w:val="Heading 7 Char"/>
    <w:basedOn w:val="724"/>
    <w:link w:val="72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62" w:customStyle="1">
    <w:name w:val="Heading 8 Char"/>
    <w:basedOn w:val="724"/>
    <w:link w:val="72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63" w:customStyle="1">
    <w:name w:val="Heading 9 Char"/>
    <w:basedOn w:val="724"/>
    <w:link w:val="72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64">
    <w:name w:val="Caption"/>
    <w:basedOn w:val="710"/>
    <w:next w:val="710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65">
    <w:name w:val="Strong"/>
    <w:basedOn w:val="724"/>
    <w:uiPriority w:val="22"/>
    <w:qFormat/>
    <w:pPr>
      <w:pBdr/>
      <w:spacing/>
      <w:ind/>
    </w:pPr>
    <w:rPr>
      <w:b/>
      <w:bCs/>
    </w:rPr>
  </w:style>
  <w:style w:type="character" w:styleId="766">
    <w:name w:val="Emphasis"/>
    <w:basedOn w:val="724"/>
    <w:uiPriority w:val="20"/>
    <w:qFormat/>
    <w:pPr>
      <w:pBdr/>
      <w:spacing/>
      <w:ind/>
    </w:pPr>
    <w:rPr>
      <w:i/>
      <w:iCs/>
    </w:rPr>
  </w:style>
  <w:style w:type="paragraph" w:styleId="767">
    <w:name w:val="Intense Quote"/>
    <w:basedOn w:val="710"/>
    <w:next w:val="710"/>
    <w:link w:val="768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68" w:customStyle="1">
    <w:name w:val="Intense Quote Char"/>
    <w:basedOn w:val="724"/>
    <w:link w:val="767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69">
    <w:name w:val="Subtle Emphasis"/>
    <w:basedOn w:val="724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70">
    <w:name w:val="Intense Emphasis"/>
    <w:basedOn w:val="724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71">
    <w:name w:val="Subtle Reference"/>
    <w:basedOn w:val="724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72">
    <w:name w:val="Intense Reference"/>
    <w:basedOn w:val="724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73">
    <w:name w:val="Book Title"/>
    <w:basedOn w:val="724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74">
    <w:name w:val="TOC Heading"/>
    <w:basedOn w:val="715"/>
    <w:next w:val="710"/>
    <w:uiPriority w:val="39"/>
    <w:semiHidden/>
    <w:unhideWhenUsed/>
    <w:qFormat/>
    <w:pPr>
      <w:pBdr/>
      <w:spacing/>
      <w:ind/>
      <w:outlineLvl w:val="9"/>
    </w:pPr>
  </w:style>
  <w:style w:type="table" w:styleId="775">
    <w:name w:val="Table Grid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ght Shading"/>
    <w:basedOn w:val="725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ght Shading Accent 1"/>
    <w:basedOn w:val="725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ght Shading Accent 2"/>
    <w:basedOn w:val="725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ght Shading Accent 3"/>
    <w:basedOn w:val="725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ght Shading Accent 4"/>
    <w:basedOn w:val="725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ght Shading Accent 5"/>
    <w:basedOn w:val="725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ght Shading Accent 6"/>
    <w:basedOn w:val="725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ght List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ght List Accent 1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ght List Accent 2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ght List Accent 3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ght List Accent 4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ght List Accent 5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ght List Accent 6"/>
    <w:basedOn w:val="725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ght Grid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ght Grid Accent 1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ght Grid Accent 2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ght Grid Accent 3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ght Grid Accent 4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ght Grid Accent 5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ght Grid Accent 6"/>
    <w:basedOn w:val="725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Shading 1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Shading 1 Accent 1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Shading 1 Accent 2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Shading 1 Accent 3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Shading 1 Accent 4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Shading 1 Accent 5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Shading 1 Accent 6"/>
    <w:basedOn w:val="725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Shading 2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Shading 2 Accent 1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Shading 2 Accent 2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Shading 2 Accent 3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Shading 2 Accent 4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Shading 2 Accent 5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Shading 2 Accent 6"/>
    <w:basedOn w:val="725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List 1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List 1 Accent 1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List 1 Accent 2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List 1 Accent 3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List 1 Accent 4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List 1 Accent 5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List 1 Accent 6"/>
    <w:basedOn w:val="72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List 2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List 2 Accent 1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List 2 Accent 2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List 2 Accent 3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List 2 Accent 4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List 2 Accent 5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Medium List 2 Accent 6"/>
    <w:basedOn w:val="72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Medium Grid 1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Medium Grid 1 Accent 1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Medium Grid 1 Accent 2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Medium Grid 1 Accent 3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Medium Grid 1 Accent 4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Medium Grid 1 Accent 5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Medium Grid 1 Accent 6"/>
    <w:basedOn w:val="725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Medium Grid 2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Medium Grid 2 Accent 1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Medium Grid 2 Accent 2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Medium Grid 2 Accent 3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Medium Grid 2 Accent 4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Medium Grid 2 Accent 5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Medium Grid 2 Accent 6"/>
    <w:basedOn w:val="72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Medium Grid 3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Medium Grid 3 Accent 1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Medium Grid 3 Accent 2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Medium Grid 3 Accent 3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Medium Grid 3 Accent 4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Medium Grid 3 Accent 5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Medium Grid 3 Accent 6"/>
    <w:basedOn w:val="725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Dark List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Dark List Accent 1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Dark List Accent 2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Dark List Accent 3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Dark List Accent 4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Dark List Accent 5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Dark List Accent 6"/>
    <w:basedOn w:val="72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Colorful Shading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Colorful Shading Accent 1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Colorful Shading Accent 2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Colorful Shading Accent 3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Colorful Shading Accent 4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Colorful Shading Accent 5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Colorful Shading Accent 6"/>
    <w:basedOn w:val="72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Colorful List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Colorful List Accent 1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Colorful List Accent 2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Colorful List Accent 3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Colorful List Accent 4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Colorful List Accent 5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Colorful List Accent 6"/>
    <w:basedOn w:val="72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Colorful Grid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Colorful Grid Accent 1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Colorful Grid Accent 2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Colorful Grid Accent 3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Colorful Grid Accent 4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Colorful Grid Accent 5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Colorful Grid Accent 6"/>
    <w:basedOn w:val="72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Descripción del CSIRT para TXDX-CSIRT - RFC 2350</dc:title>
  <dc:subject>Perfil de TXDX-CSIRT conforme a RFC 2350 / BCP 21</dc:subject>
  <dc:creator>TXDXSecure</dc:creator>
  <cp:keywords/>
  <dc:description>Documento preparado siguiendo la estructura del Apéndice E de RFC 2350.</dc:description>
  <cp:revision>2</cp:revision>
  <dcterms:created xsi:type="dcterms:W3CDTF">2013-12-23T23:15:00Z</dcterms:created>
  <dcterms:modified xsi:type="dcterms:W3CDTF">2026-09-02T20:45:01Z</dcterms:modified>
  <cp:category/>
</cp:coreProperties>
</file>